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21" w:rsidRPr="0014065C" w:rsidRDefault="00F31021" w:rsidP="00F31021">
      <w:pPr>
        <w:shd w:val="clear" w:color="auto" w:fill="FFFFFF"/>
        <w:spacing w:before="240" w:after="120" w:line="312" w:lineRule="auto"/>
        <w:outlineLvl w:val="2"/>
        <w:rPr>
          <w:rFonts w:eastAsia="Times New Roman"/>
          <w:b/>
          <w:bCs/>
          <w:color w:val="000066"/>
          <w:sz w:val="36"/>
          <w:szCs w:val="36"/>
        </w:rPr>
      </w:pPr>
      <w:r w:rsidRPr="0014065C">
        <w:rPr>
          <w:rFonts w:eastAsia="Times New Roman"/>
          <w:b/>
          <w:bCs/>
          <w:color w:val="000066"/>
          <w:sz w:val="36"/>
          <w:szCs w:val="36"/>
        </w:rPr>
        <w:t>Device Borrowing</w:t>
      </w:r>
    </w:p>
    <w:p w:rsidR="009157AD" w:rsidRPr="00C20708" w:rsidRDefault="001D1EBD" w:rsidP="006312FF">
      <w:pPr>
        <w:shd w:val="clear" w:color="auto" w:fill="FFFFFF"/>
        <w:rPr>
          <w:rFonts w:eastAsia="Times New Roman"/>
          <w:szCs w:val="24"/>
        </w:rPr>
      </w:pPr>
      <w:r w:rsidRPr="00C20708">
        <w:rPr>
          <w:rFonts w:eastAsia="Times New Roman"/>
          <w:szCs w:val="24"/>
        </w:rPr>
        <w:t xml:space="preserve">For a nominal fee, </w:t>
      </w:r>
      <w:r w:rsidR="00F31021" w:rsidRPr="00C20708">
        <w:rPr>
          <w:rFonts w:eastAsia="Times New Roman"/>
          <w:szCs w:val="24"/>
        </w:rPr>
        <w:t xml:space="preserve">WATAP </w:t>
      </w:r>
      <w:r w:rsidRPr="00C20708">
        <w:rPr>
          <w:rFonts w:eastAsia="Times New Roman"/>
          <w:szCs w:val="24"/>
        </w:rPr>
        <w:t xml:space="preserve">has assistive technology </w:t>
      </w:r>
      <w:r w:rsidR="00F31021" w:rsidRPr="00C20708">
        <w:rPr>
          <w:rFonts w:eastAsia="Times New Roman"/>
          <w:szCs w:val="24"/>
        </w:rPr>
        <w:t xml:space="preserve">devices </w:t>
      </w:r>
      <w:r w:rsidRPr="00C20708">
        <w:rPr>
          <w:rFonts w:eastAsia="Times New Roman"/>
          <w:szCs w:val="24"/>
        </w:rPr>
        <w:t xml:space="preserve">available </w:t>
      </w:r>
      <w:r w:rsidR="009157AD" w:rsidRPr="00C20708">
        <w:rPr>
          <w:rFonts w:eastAsia="Times New Roman"/>
          <w:szCs w:val="24"/>
        </w:rPr>
        <w:t>for loan</w:t>
      </w:r>
      <w:r w:rsidRPr="00C20708">
        <w:rPr>
          <w:rFonts w:eastAsia="Times New Roman"/>
          <w:szCs w:val="24"/>
        </w:rPr>
        <w:t xml:space="preserve">. </w:t>
      </w:r>
      <w:r w:rsidR="00F31021" w:rsidRPr="00C20708">
        <w:rPr>
          <w:rFonts w:eastAsia="Times New Roman"/>
          <w:szCs w:val="24"/>
        </w:rPr>
        <w:t xml:space="preserve"> </w:t>
      </w:r>
      <w:r w:rsidRPr="00C20708">
        <w:rPr>
          <w:rFonts w:eastAsia="Times New Roman"/>
          <w:szCs w:val="24"/>
        </w:rPr>
        <w:t xml:space="preserve">The loan period can be up to 21 days (not including transit time), with a possible borrow extension upon request.  </w:t>
      </w:r>
      <w:r w:rsidR="009157AD" w:rsidRPr="00C20708">
        <w:rPr>
          <w:rFonts w:eastAsia="Times New Roman"/>
          <w:szCs w:val="24"/>
        </w:rPr>
        <w:t xml:space="preserve">This equipment is available to courts and individuals on a first come, first served basis. </w:t>
      </w:r>
      <w:r w:rsidR="009157AD" w:rsidRPr="00C20708">
        <w:rPr>
          <w:szCs w:val="24"/>
        </w:rPr>
        <w:t xml:space="preserve"> </w:t>
      </w:r>
      <w:hyperlink r:id="rId7" w:history="1">
        <w:r w:rsidR="009157AD" w:rsidRPr="00C20708">
          <w:rPr>
            <w:rStyle w:val="Hyperlink"/>
            <w:rFonts w:eastAsia="Times New Roman"/>
            <w:szCs w:val="24"/>
          </w:rPr>
          <w:t>Learn more about the borrowing process and fees.</w:t>
        </w:r>
      </w:hyperlink>
    </w:p>
    <w:p w:rsidR="009157AD" w:rsidRPr="00C20708" w:rsidRDefault="009157AD" w:rsidP="006312FF">
      <w:pPr>
        <w:shd w:val="clear" w:color="auto" w:fill="FFFFFF"/>
        <w:rPr>
          <w:rFonts w:eastAsia="Times New Roman"/>
          <w:szCs w:val="24"/>
        </w:rPr>
      </w:pPr>
    </w:p>
    <w:p w:rsidR="00B21517" w:rsidRPr="00C20708" w:rsidRDefault="00B21517" w:rsidP="00B21517">
      <w:pPr>
        <w:rPr>
          <w:szCs w:val="24"/>
        </w:rPr>
      </w:pPr>
      <w:r w:rsidRPr="00C20708">
        <w:rPr>
          <w:szCs w:val="24"/>
        </w:rPr>
        <w:t>If you are interested in borrowing a device from WATAP, begin by selecting categories from the choices listed below.</w:t>
      </w:r>
    </w:p>
    <w:p w:rsidR="00B21517" w:rsidRPr="00C20708" w:rsidRDefault="00B21517" w:rsidP="00B21517">
      <w:pPr>
        <w:rPr>
          <w:szCs w:val="24"/>
        </w:rPr>
      </w:pPr>
    </w:p>
    <w:p w:rsidR="00B21517" w:rsidRPr="00C20708" w:rsidRDefault="00B21517" w:rsidP="00B21517">
      <w:pPr>
        <w:rPr>
          <w:b/>
          <w:szCs w:val="24"/>
        </w:rPr>
      </w:pPr>
      <w:r w:rsidRPr="00C20708">
        <w:rPr>
          <w:szCs w:val="24"/>
        </w:rPr>
        <w:t xml:space="preserve">To read about specific products, that may be useful </w:t>
      </w:r>
      <w:r w:rsidR="0017220F" w:rsidRPr="00C20708">
        <w:rPr>
          <w:szCs w:val="24"/>
        </w:rPr>
        <w:t xml:space="preserve">and available </w:t>
      </w:r>
      <w:r w:rsidRPr="00C20708">
        <w:rPr>
          <w:szCs w:val="24"/>
        </w:rPr>
        <w:t>to court users click</w:t>
      </w:r>
      <w:r w:rsidR="00705749" w:rsidRPr="00C20708">
        <w:rPr>
          <w:szCs w:val="24"/>
        </w:rPr>
        <w:t xml:space="preserve"> on the name of the device</w:t>
      </w:r>
      <w:r w:rsidRPr="00C20708">
        <w:rPr>
          <w:szCs w:val="24"/>
        </w:rPr>
        <w:t>.  To borrow the device click “Borrow”, scroll down and click “Add to Cart” on the device you wish to borrow and continue to check out.</w:t>
      </w:r>
    </w:p>
    <w:p w:rsidR="00B21517" w:rsidRPr="00C20708" w:rsidRDefault="00B21517" w:rsidP="00B21517">
      <w:pPr>
        <w:rPr>
          <w:szCs w:val="24"/>
        </w:rPr>
      </w:pPr>
    </w:p>
    <w:p w:rsidR="00B21517" w:rsidRPr="00C20708" w:rsidRDefault="00B21517" w:rsidP="00B21517">
      <w:pPr>
        <w:rPr>
          <w:szCs w:val="24"/>
        </w:rPr>
      </w:pPr>
    </w:p>
    <w:p w:rsidR="00B21517" w:rsidRPr="00794F68" w:rsidRDefault="00B07981" w:rsidP="00794F68">
      <w:pPr>
        <w:pStyle w:val="ListParagraph"/>
        <w:numPr>
          <w:ilvl w:val="0"/>
          <w:numId w:val="3"/>
        </w:numPr>
        <w:rPr>
          <w:sz w:val="28"/>
          <w:szCs w:val="28"/>
        </w:rPr>
      </w:pPr>
      <w:hyperlink w:anchor="_Hearing" w:history="1">
        <w:r w:rsidR="00B21517" w:rsidRPr="00794F68">
          <w:rPr>
            <w:rStyle w:val="Hyperlink"/>
            <w:sz w:val="28"/>
            <w:szCs w:val="28"/>
          </w:rPr>
          <w:t>Hea</w:t>
        </w:r>
        <w:r w:rsidR="00B21517" w:rsidRPr="00794F68">
          <w:rPr>
            <w:rStyle w:val="Hyperlink"/>
            <w:sz w:val="28"/>
            <w:szCs w:val="28"/>
          </w:rPr>
          <w:t>r</w:t>
        </w:r>
        <w:r w:rsidR="00B21517" w:rsidRPr="00794F68">
          <w:rPr>
            <w:rStyle w:val="Hyperlink"/>
            <w:sz w:val="28"/>
            <w:szCs w:val="28"/>
          </w:rPr>
          <w:t>i</w:t>
        </w:r>
        <w:r w:rsidR="00B21517" w:rsidRPr="00794F68">
          <w:rPr>
            <w:rStyle w:val="Hyperlink"/>
            <w:sz w:val="28"/>
            <w:szCs w:val="28"/>
          </w:rPr>
          <w:t>n</w:t>
        </w:r>
        <w:r w:rsidR="00B21517" w:rsidRPr="00794F68">
          <w:rPr>
            <w:rStyle w:val="Hyperlink"/>
            <w:sz w:val="28"/>
            <w:szCs w:val="28"/>
          </w:rPr>
          <w:t>g</w:t>
        </w:r>
      </w:hyperlink>
    </w:p>
    <w:p w:rsidR="00B21517" w:rsidRPr="00F21494" w:rsidRDefault="00B21517" w:rsidP="00B21517">
      <w:pPr>
        <w:rPr>
          <w:sz w:val="28"/>
          <w:szCs w:val="28"/>
        </w:rPr>
      </w:pPr>
    </w:p>
    <w:p w:rsidR="00B21517" w:rsidRPr="00794F68" w:rsidRDefault="00B07981" w:rsidP="00794F68">
      <w:pPr>
        <w:pStyle w:val="ListParagraph"/>
        <w:numPr>
          <w:ilvl w:val="0"/>
          <w:numId w:val="3"/>
        </w:numPr>
        <w:rPr>
          <w:sz w:val="28"/>
          <w:szCs w:val="28"/>
        </w:rPr>
      </w:pPr>
      <w:hyperlink w:anchor="_Learning,_Cognition_and" w:history="1">
        <w:r w:rsidR="00B21517" w:rsidRPr="00794F68">
          <w:rPr>
            <w:rStyle w:val="Hyperlink"/>
            <w:sz w:val="28"/>
            <w:szCs w:val="28"/>
          </w:rPr>
          <w:t>Learning, Cognition</w:t>
        </w:r>
        <w:r w:rsidR="00B21517" w:rsidRPr="00794F68">
          <w:rPr>
            <w:rStyle w:val="Hyperlink"/>
            <w:sz w:val="28"/>
            <w:szCs w:val="28"/>
          </w:rPr>
          <w:t xml:space="preserve"> </w:t>
        </w:r>
        <w:r w:rsidR="00B21517" w:rsidRPr="00794F68">
          <w:rPr>
            <w:rStyle w:val="Hyperlink"/>
            <w:sz w:val="28"/>
            <w:szCs w:val="28"/>
          </w:rPr>
          <w:t>and Development</w:t>
        </w:r>
      </w:hyperlink>
    </w:p>
    <w:p w:rsidR="00B21517" w:rsidRPr="00F21494" w:rsidRDefault="00B21517" w:rsidP="00B21517">
      <w:pPr>
        <w:rPr>
          <w:sz w:val="28"/>
          <w:szCs w:val="28"/>
        </w:rPr>
      </w:pPr>
    </w:p>
    <w:p w:rsidR="00B21517" w:rsidRPr="00794F68" w:rsidRDefault="00B07981" w:rsidP="00794F68">
      <w:pPr>
        <w:pStyle w:val="ListParagraph"/>
        <w:numPr>
          <w:ilvl w:val="0"/>
          <w:numId w:val="3"/>
        </w:numPr>
        <w:rPr>
          <w:sz w:val="28"/>
          <w:szCs w:val="28"/>
        </w:rPr>
      </w:pPr>
      <w:hyperlink w:anchor="_Speech_Communication" w:history="1">
        <w:r w:rsidR="00B21517" w:rsidRPr="00794F68">
          <w:rPr>
            <w:rStyle w:val="Hyperlink"/>
            <w:sz w:val="28"/>
            <w:szCs w:val="28"/>
          </w:rPr>
          <w:t>Speech Com</w:t>
        </w:r>
        <w:r w:rsidR="00B21517" w:rsidRPr="00794F68">
          <w:rPr>
            <w:rStyle w:val="Hyperlink"/>
            <w:sz w:val="28"/>
            <w:szCs w:val="28"/>
          </w:rPr>
          <w:t>m</w:t>
        </w:r>
        <w:r w:rsidR="00B21517" w:rsidRPr="00794F68">
          <w:rPr>
            <w:rStyle w:val="Hyperlink"/>
            <w:sz w:val="28"/>
            <w:szCs w:val="28"/>
          </w:rPr>
          <w:t>unication</w:t>
        </w:r>
      </w:hyperlink>
    </w:p>
    <w:p w:rsidR="00B21517" w:rsidRPr="00F21494" w:rsidRDefault="00B21517" w:rsidP="00B21517">
      <w:pPr>
        <w:rPr>
          <w:sz w:val="28"/>
          <w:szCs w:val="28"/>
        </w:rPr>
      </w:pPr>
    </w:p>
    <w:p w:rsidR="00B21517" w:rsidRPr="00794F68" w:rsidRDefault="00B07981" w:rsidP="00794F68">
      <w:pPr>
        <w:pStyle w:val="ListParagraph"/>
        <w:numPr>
          <w:ilvl w:val="0"/>
          <w:numId w:val="3"/>
        </w:numPr>
        <w:rPr>
          <w:szCs w:val="24"/>
        </w:rPr>
      </w:pPr>
      <w:hyperlink w:anchor="_Vision" w:history="1">
        <w:r w:rsidR="00B21517" w:rsidRPr="00794F68">
          <w:rPr>
            <w:rStyle w:val="Hyperlink"/>
            <w:sz w:val="28"/>
            <w:szCs w:val="28"/>
          </w:rPr>
          <w:t>Vis</w:t>
        </w:r>
        <w:r w:rsidR="00B21517" w:rsidRPr="00794F68">
          <w:rPr>
            <w:rStyle w:val="Hyperlink"/>
            <w:sz w:val="28"/>
            <w:szCs w:val="28"/>
          </w:rPr>
          <w:t>i</w:t>
        </w:r>
        <w:r w:rsidR="00B21517" w:rsidRPr="00794F68">
          <w:rPr>
            <w:rStyle w:val="Hyperlink"/>
            <w:sz w:val="28"/>
            <w:szCs w:val="28"/>
          </w:rPr>
          <w:t>on</w:t>
        </w:r>
      </w:hyperlink>
    </w:p>
    <w:p w:rsidR="00B21517" w:rsidRPr="00C20708" w:rsidRDefault="00B21517" w:rsidP="00B21517">
      <w:pPr>
        <w:rPr>
          <w:szCs w:val="24"/>
        </w:rPr>
      </w:pPr>
    </w:p>
    <w:p w:rsidR="00B21517" w:rsidRPr="00C20708" w:rsidRDefault="00F21494" w:rsidP="006312FF">
      <w:pPr>
        <w:pStyle w:val="NormalWeb"/>
        <w:shd w:val="clear" w:color="auto" w:fill="FFFFFF"/>
        <w:spacing w:before="0" w:beforeAutospacing="0" w:after="0" w:afterAutospacing="0"/>
        <w:rPr>
          <w:rFonts w:ascii="Arial" w:hAnsi="Arial" w:cs="Arial"/>
        </w:rPr>
      </w:pPr>
      <w:r>
        <w:rPr>
          <w:rFonts w:ascii="Arial" w:hAnsi="Arial" w:cs="Arial"/>
        </w:rPr>
        <w:t>_____________________________________________________________________</w:t>
      </w:r>
    </w:p>
    <w:p w:rsidR="00B21517" w:rsidRPr="00C20708" w:rsidRDefault="00B21517">
      <w:pPr>
        <w:rPr>
          <w:b/>
          <w:szCs w:val="24"/>
        </w:rPr>
      </w:pPr>
    </w:p>
    <w:p w:rsidR="00762F74" w:rsidRPr="00794F68" w:rsidRDefault="000865C4" w:rsidP="00F21494">
      <w:pPr>
        <w:pStyle w:val="Heading1"/>
        <w:spacing w:before="120"/>
        <w:rPr>
          <w:rFonts w:ascii="Arial" w:hAnsi="Arial" w:cs="Arial"/>
          <w:color w:val="00B050"/>
        </w:rPr>
      </w:pPr>
      <w:bookmarkStart w:id="0" w:name="_Hearing"/>
      <w:bookmarkEnd w:id="0"/>
      <w:r w:rsidRPr="00794F68">
        <w:rPr>
          <w:rFonts w:ascii="Arial" w:hAnsi="Arial" w:cs="Arial"/>
          <w:color w:val="00B050"/>
        </w:rPr>
        <w:t>Hearing</w:t>
      </w:r>
    </w:p>
    <w:p w:rsidR="000865C4" w:rsidRPr="00C20708" w:rsidRDefault="000865C4">
      <w:pPr>
        <w:rPr>
          <w:i/>
          <w:szCs w:val="24"/>
        </w:rPr>
      </w:pPr>
      <w:r w:rsidRPr="00C20708">
        <w:rPr>
          <w:szCs w:val="24"/>
        </w:rPr>
        <w:t>These products are intended to assist individuals who are deaf or hard of hearing</w:t>
      </w:r>
      <w:r w:rsidRPr="00C20708">
        <w:rPr>
          <w:i/>
          <w:szCs w:val="24"/>
        </w:rPr>
        <w:t>.</w:t>
      </w:r>
    </w:p>
    <w:p w:rsidR="000865C4" w:rsidRPr="00C20708" w:rsidRDefault="000865C4">
      <w:pPr>
        <w:rPr>
          <w:i/>
          <w:szCs w:val="24"/>
        </w:rPr>
      </w:pPr>
    </w:p>
    <w:p w:rsidR="005178E2" w:rsidRPr="00C20708" w:rsidRDefault="005178E2" w:rsidP="00612D6B">
      <w:pPr>
        <w:ind w:left="720"/>
        <w:rPr>
          <w:b/>
          <w:i/>
          <w:szCs w:val="24"/>
        </w:rPr>
      </w:pPr>
      <w:r w:rsidRPr="00C20708">
        <w:rPr>
          <w:b/>
          <w:i/>
          <w:szCs w:val="24"/>
        </w:rPr>
        <w:t xml:space="preserve">Audio Enhancement </w:t>
      </w:r>
      <w:proofErr w:type="spellStart"/>
      <w:r w:rsidRPr="00C20708">
        <w:rPr>
          <w:b/>
          <w:i/>
          <w:szCs w:val="24"/>
        </w:rPr>
        <w:t>Neckloop</w:t>
      </w:r>
      <w:proofErr w:type="spellEnd"/>
      <w:r w:rsidRPr="00C20708">
        <w:rPr>
          <w:b/>
          <w:i/>
          <w:szCs w:val="24"/>
        </w:rPr>
        <w:t xml:space="preserve"> w/</w:t>
      </w:r>
      <w:r w:rsidR="0017220F" w:rsidRPr="00C20708">
        <w:rPr>
          <w:b/>
          <w:i/>
          <w:szCs w:val="24"/>
        </w:rPr>
        <w:t>P</w:t>
      </w:r>
      <w:r w:rsidRPr="00C20708">
        <w:rPr>
          <w:b/>
          <w:i/>
          <w:szCs w:val="24"/>
        </w:rPr>
        <w:t xml:space="preserve">ocket </w:t>
      </w:r>
      <w:r w:rsidR="0017220F" w:rsidRPr="00C20708">
        <w:rPr>
          <w:b/>
          <w:i/>
          <w:szCs w:val="24"/>
        </w:rPr>
        <w:t>T</w:t>
      </w:r>
      <w:r w:rsidRPr="00C20708">
        <w:rPr>
          <w:b/>
          <w:i/>
          <w:szCs w:val="24"/>
        </w:rPr>
        <w:t>alker</w:t>
      </w:r>
    </w:p>
    <w:p w:rsidR="005178E2" w:rsidRPr="00C20708" w:rsidRDefault="005178E2" w:rsidP="00612D6B">
      <w:pPr>
        <w:ind w:left="720"/>
        <w:rPr>
          <w:color w:val="000000" w:themeColor="text1"/>
          <w:szCs w:val="24"/>
        </w:rPr>
      </w:pPr>
      <w:r w:rsidRPr="00C20708">
        <w:rPr>
          <w:color w:val="000000" w:themeColor="text1"/>
          <w:szCs w:val="24"/>
        </w:rPr>
        <w:t>Personal Amplifier amplifies sounds close to the hard of hearing listener while reducing background noise, making it ideal for use in noisy situations, TV listening, one-on-one communication, small groups</w:t>
      </w:r>
      <w:r w:rsidR="0017220F" w:rsidRPr="00C20708">
        <w:rPr>
          <w:color w:val="000000" w:themeColor="text1"/>
          <w:szCs w:val="24"/>
        </w:rPr>
        <w:t>,</w:t>
      </w:r>
      <w:r w:rsidRPr="00C20708">
        <w:rPr>
          <w:color w:val="000000" w:themeColor="text1"/>
          <w:szCs w:val="24"/>
        </w:rPr>
        <w:t xml:space="preserve"> or listening in a car.</w:t>
      </w:r>
    </w:p>
    <w:p w:rsidR="005178E2" w:rsidRDefault="005178E2" w:rsidP="00612D6B">
      <w:pPr>
        <w:ind w:left="720"/>
        <w:rPr>
          <w:szCs w:val="24"/>
        </w:rPr>
      </w:pPr>
      <w:r w:rsidRPr="00C20708">
        <w:rPr>
          <w:color w:val="FF0000"/>
          <w:szCs w:val="24"/>
        </w:rPr>
        <w:t>Not useful in large setting like a courtroom, may be useful in Jury room – ask the person who will be using it</w:t>
      </w:r>
      <w:r w:rsidRPr="00C20708">
        <w:rPr>
          <w:szCs w:val="24"/>
        </w:rPr>
        <w:t xml:space="preserve">. </w:t>
      </w:r>
      <w:hyperlink r:id="rId8" w:history="1">
        <w:r w:rsidRPr="00C20708">
          <w:rPr>
            <w:rStyle w:val="Hyperlink"/>
            <w:szCs w:val="24"/>
          </w:rPr>
          <w:t>Borrow</w:t>
        </w:r>
      </w:hyperlink>
    </w:p>
    <w:p w:rsidR="00C20708" w:rsidRDefault="00C20708" w:rsidP="00612D6B">
      <w:pPr>
        <w:ind w:left="720"/>
        <w:rPr>
          <w:szCs w:val="24"/>
        </w:rPr>
      </w:pPr>
    </w:p>
    <w:p w:rsidR="005178E2" w:rsidRPr="00C20708" w:rsidRDefault="005178E2">
      <w:pPr>
        <w:rPr>
          <w:i/>
          <w:szCs w:val="24"/>
        </w:rPr>
      </w:pPr>
    </w:p>
    <w:p w:rsidR="005178E2" w:rsidRPr="00C20708" w:rsidRDefault="00B07981" w:rsidP="00612D6B">
      <w:pPr>
        <w:ind w:left="720"/>
        <w:rPr>
          <w:bCs/>
          <w:i/>
          <w:szCs w:val="24"/>
        </w:rPr>
      </w:pPr>
      <w:hyperlink r:id="rId9" w:history="1">
        <w:r w:rsidR="005178E2" w:rsidRPr="00C20708">
          <w:rPr>
            <w:rStyle w:val="Hyperlink"/>
            <w:b/>
            <w:bCs/>
            <w:i/>
            <w:szCs w:val="24"/>
          </w:rPr>
          <w:t>Easy Listener FM Hearing System</w:t>
        </w:r>
      </w:hyperlink>
      <w:r w:rsidR="005178E2" w:rsidRPr="00C20708">
        <w:rPr>
          <w:bCs/>
          <w:i/>
          <w:szCs w:val="24"/>
        </w:rPr>
        <w:t xml:space="preserve"> </w:t>
      </w:r>
    </w:p>
    <w:p w:rsidR="005178E2" w:rsidRPr="00C20708" w:rsidRDefault="005178E2" w:rsidP="00612D6B">
      <w:pPr>
        <w:ind w:left="720"/>
        <w:rPr>
          <w:szCs w:val="24"/>
        </w:rPr>
      </w:pPr>
      <w:r w:rsidRPr="00C20708">
        <w:rPr>
          <w:szCs w:val="24"/>
        </w:rPr>
        <w:t xml:space="preserve">Can be used with hearing aids or as a stand-alone hearing system to help combat background noise, distance to sound source, and/or reverberation that can interfere with clear speech understanding. Easy Listener is one of the most popular personal FM systems and the preferred choice for disabled student services in colleges and universities, court interpreters and tour guides in factories, museums, etc. It should be noted that most over-the-counter </w:t>
      </w:r>
      <w:r w:rsidRPr="00C20708">
        <w:rPr>
          <w:szCs w:val="24"/>
        </w:rPr>
        <w:lastRenderedPageBreak/>
        <w:t xml:space="preserve">headphones and earbuds do not fulfill the ADA requirements for hearing assistance. Neckloop rented separately. </w:t>
      </w:r>
      <w:r w:rsidRPr="00C20708">
        <w:rPr>
          <w:i/>
          <w:color w:val="FF0000"/>
          <w:szCs w:val="24"/>
        </w:rPr>
        <w:t xml:space="preserve">May be used in courtroom, in-line with PA system, more useful in Jury room. </w:t>
      </w:r>
      <w:hyperlink r:id="rId10" w:history="1">
        <w:r w:rsidRPr="00C20708">
          <w:rPr>
            <w:rStyle w:val="Hyperlink"/>
            <w:szCs w:val="24"/>
          </w:rPr>
          <w:t>Borrow</w:t>
        </w:r>
      </w:hyperlink>
    </w:p>
    <w:p w:rsidR="002D348D" w:rsidRPr="00C20708" w:rsidRDefault="002D348D" w:rsidP="005178E2">
      <w:pPr>
        <w:rPr>
          <w:b/>
          <w:i/>
          <w:color w:val="FF0000"/>
          <w:szCs w:val="24"/>
        </w:rPr>
      </w:pPr>
    </w:p>
    <w:p w:rsidR="00612D6B" w:rsidRPr="00C20708" w:rsidRDefault="00612D6B" w:rsidP="00612D6B">
      <w:pPr>
        <w:ind w:left="720"/>
        <w:rPr>
          <w:b/>
          <w:bCs/>
          <w:i/>
          <w:szCs w:val="24"/>
        </w:rPr>
      </w:pPr>
      <w:r w:rsidRPr="00C20708">
        <w:rPr>
          <w:b/>
          <w:bCs/>
          <w:i/>
          <w:szCs w:val="24"/>
        </w:rPr>
        <w:t>Neck loop for personal FM system</w:t>
      </w:r>
      <w:r w:rsidRPr="00C20708">
        <w:rPr>
          <w:bCs/>
          <w:i/>
          <w:szCs w:val="24"/>
        </w:rPr>
        <w:t xml:space="preserve"> </w:t>
      </w:r>
    </w:p>
    <w:p w:rsidR="00612D6B" w:rsidRPr="00C20708" w:rsidRDefault="00612D6B" w:rsidP="00612D6B">
      <w:pPr>
        <w:ind w:left="720"/>
        <w:rPr>
          <w:bCs/>
          <w:szCs w:val="24"/>
        </w:rPr>
      </w:pPr>
      <w:r w:rsidRPr="00C20708">
        <w:rPr>
          <w:bCs/>
          <w:szCs w:val="24"/>
        </w:rPr>
        <w:t xml:space="preserve">Use with hearing aids equipped with a T-coil switch or an induction earphone. </w:t>
      </w:r>
      <w:proofErr w:type="gramStart"/>
      <w:r w:rsidRPr="00C20708">
        <w:rPr>
          <w:bCs/>
          <w:szCs w:val="24"/>
        </w:rPr>
        <w:t>Works with any device having 8-16 ohms audio output</w:t>
      </w:r>
      <w:r w:rsidR="0017220F" w:rsidRPr="00C20708">
        <w:rPr>
          <w:bCs/>
          <w:szCs w:val="24"/>
        </w:rPr>
        <w:t xml:space="preserve"> and a </w:t>
      </w:r>
      <w:r w:rsidRPr="00C20708">
        <w:rPr>
          <w:bCs/>
          <w:szCs w:val="24"/>
        </w:rPr>
        <w:t>3.5mm mono jack.</w:t>
      </w:r>
      <w:proofErr w:type="gramEnd"/>
      <w:r w:rsidRPr="00C20708">
        <w:rPr>
          <w:bCs/>
          <w:szCs w:val="24"/>
        </w:rPr>
        <w:t xml:space="preserve"> </w:t>
      </w:r>
      <w:r w:rsidR="0017220F" w:rsidRPr="00C20708">
        <w:rPr>
          <w:bCs/>
          <w:szCs w:val="24"/>
        </w:rPr>
        <w:t xml:space="preserve">An </w:t>
      </w:r>
      <w:r w:rsidRPr="00C20708">
        <w:rPr>
          <w:bCs/>
          <w:szCs w:val="24"/>
        </w:rPr>
        <w:t xml:space="preserve">18-inch cord makes it ideal for adults to use. </w:t>
      </w:r>
      <w:r w:rsidRPr="00C20708">
        <w:rPr>
          <w:i/>
          <w:color w:val="FF0000"/>
          <w:szCs w:val="24"/>
        </w:rPr>
        <w:t xml:space="preserve"> </w:t>
      </w:r>
      <w:hyperlink r:id="rId11" w:history="1">
        <w:r w:rsidRPr="00C20708">
          <w:rPr>
            <w:rStyle w:val="Hyperlink"/>
            <w:szCs w:val="24"/>
          </w:rPr>
          <w:t>Borrow</w:t>
        </w:r>
      </w:hyperlink>
    </w:p>
    <w:p w:rsidR="002D348D" w:rsidRPr="00794F68" w:rsidRDefault="002D348D" w:rsidP="00F21494">
      <w:pPr>
        <w:pStyle w:val="Heading1"/>
        <w:rPr>
          <w:rFonts w:ascii="Arial" w:hAnsi="Arial" w:cs="Arial"/>
          <w:color w:val="00B050"/>
        </w:rPr>
      </w:pPr>
      <w:bookmarkStart w:id="1" w:name="_Learning,_Cognition_and"/>
      <w:bookmarkEnd w:id="1"/>
      <w:r w:rsidRPr="00794F68">
        <w:rPr>
          <w:rFonts w:ascii="Arial" w:hAnsi="Arial" w:cs="Arial"/>
          <w:color w:val="00B050"/>
        </w:rPr>
        <w:t>Learning, Cognition and Development</w:t>
      </w:r>
    </w:p>
    <w:p w:rsidR="00D16350" w:rsidRPr="00C20708" w:rsidRDefault="00D16350" w:rsidP="00D16350">
      <w:pPr>
        <w:ind w:firstLine="720"/>
        <w:rPr>
          <w:b/>
          <w:szCs w:val="24"/>
        </w:rPr>
      </w:pPr>
    </w:p>
    <w:p w:rsidR="00D16350" w:rsidRPr="00C20708" w:rsidRDefault="00D16350" w:rsidP="00D16350">
      <w:pPr>
        <w:ind w:firstLine="720"/>
        <w:rPr>
          <w:b/>
          <w:szCs w:val="24"/>
        </w:rPr>
      </w:pPr>
      <w:r w:rsidRPr="00C20708">
        <w:rPr>
          <w:b/>
          <w:szCs w:val="24"/>
        </w:rPr>
        <w:t>Readers</w:t>
      </w:r>
    </w:p>
    <w:p w:rsidR="00D16350" w:rsidRPr="00C20708" w:rsidRDefault="00D16350" w:rsidP="00D16350">
      <w:pPr>
        <w:rPr>
          <w:i/>
          <w:szCs w:val="24"/>
        </w:rPr>
      </w:pPr>
    </w:p>
    <w:p w:rsidR="00D16350" w:rsidRPr="00C20708" w:rsidRDefault="00B07981" w:rsidP="00D16350">
      <w:pPr>
        <w:ind w:firstLine="720"/>
        <w:rPr>
          <w:b/>
          <w:i/>
          <w:szCs w:val="24"/>
        </w:rPr>
      </w:pPr>
      <w:hyperlink r:id="rId12" w:history="1">
        <w:r w:rsidR="00D16350" w:rsidRPr="00C20708">
          <w:rPr>
            <w:rStyle w:val="Hyperlink"/>
            <w:b/>
            <w:i/>
            <w:szCs w:val="24"/>
          </w:rPr>
          <w:t>Kurzweil 1000</w:t>
        </w:r>
      </w:hyperlink>
      <w:r w:rsidR="00D16350" w:rsidRPr="00C20708">
        <w:rPr>
          <w:b/>
          <w:i/>
          <w:szCs w:val="24"/>
        </w:rPr>
        <w:t xml:space="preserve">  </w:t>
      </w:r>
    </w:p>
    <w:p w:rsidR="00D16350" w:rsidRPr="00C20708" w:rsidRDefault="00D16350" w:rsidP="00D16350">
      <w:pPr>
        <w:ind w:left="720"/>
        <w:rPr>
          <w:rFonts w:eastAsia="Times New Roman"/>
          <w:szCs w:val="24"/>
        </w:rPr>
      </w:pPr>
      <w:r w:rsidRPr="00C20708">
        <w:rPr>
          <w:rFonts w:eastAsia="Times New Roman"/>
          <w:szCs w:val="24"/>
        </w:rPr>
        <w:t>Kurzweil 1000</w:t>
      </w:r>
      <w:r w:rsidRPr="00C20708">
        <w:rPr>
          <w:rFonts w:eastAsia="Times New Roman"/>
          <w:szCs w:val="24"/>
          <w:vertAlign w:val="superscript"/>
        </w:rPr>
        <w:t>TM</w:t>
      </w:r>
      <w:r w:rsidRPr="00C20708">
        <w:rPr>
          <w:rFonts w:eastAsia="Times New Roman"/>
          <w:szCs w:val="24"/>
        </w:rPr>
        <w:t xml:space="preserve"> is award-winning software that makes printed or electronic text readily available to people who are blind or visually impaired. It combines accessibility, communication and productivity tools to ease and enhance their reading, writing and learning experience. </w:t>
      </w:r>
      <w:hyperlink r:id="rId13" w:history="1">
        <w:r w:rsidRPr="00C20708">
          <w:rPr>
            <w:rStyle w:val="Hyperlink"/>
            <w:rFonts w:eastAsia="Times New Roman"/>
            <w:szCs w:val="24"/>
          </w:rPr>
          <w:t>Borrow</w:t>
        </w:r>
      </w:hyperlink>
    </w:p>
    <w:p w:rsidR="00D16350" w:rsidRPr="00C20708" w:rsidRDefault="00D16350" w:rsidP="00D16350">
      <w:pPr>
        <w:rPr>
          <w:i/>
          <w:szCs w:val="24"/>
        </w:rPr>
      </w:pPr>
    </w:p>
    <w:p w:rsidR="00D16350" w:rsidRPr="00C20708" w:rsidRDefault="00B07981" w:rsidP="00D16350">
      <w:pPr>
        <w:ind w:firstLine="720"/>
        <w:rPr>
          <w:b/>
          <w:i/>
          <w:szCs w:val="24"/>
        </w:rPr>
      </w:pPr>
      <w:hyperlink r:id="rId14" w:history="1">
        <w:r w:rsidR="00D16350" w:rsidRPr="00C20708">
          <w:rPr>
            <w:rStyle w:val="Hyperlink"/>
            <w:b/>
            <w:i/>
            <w:szCs w:val="24"/>
          </w:rPr>
          <w:t>Kurweil 3000</w:t>
        </w:r>
      </w:hyperlink>
    </w:p>
    <w:p w:rsidR="00D16350" w:rsidRPr="00C20708" w:rsidRDefault="00D16350" w:rsidP="00D16350">
      <w:pPr>
        <w:ind w:left="720"/>
        <w:rPr>
          <w:rFonts w:eastAsia="Times New Roman"/>
          <w:szCs w:val="24"/>
        </w:rPr>
      </w:pPr>
      <w:r w:rsidRPr="00C20708">
        <w:rPr>
          <w:rFonts w:eastAsia="Times New Roman"/>
          <w:szCs w:val="24"/>
        </w:rPr>
        <w:t xml:space="preserve">Kurzweil 3000™ is the comprehensive reading, writing and learning software solution for any struggling reader, including individuals with learning difficulties such as dyslexia, attention deficit disorder or those who are English Language Learners. </w:t>
      </w:r>
      <w:hyperlink r:id="rId15" w:history="1">
        <w:r w:rsidRPr="00C20708">
          <w:rPr>
            <w:rStyle w:val="Hyperlink"/>
            <w:rFonts w:eastAsia="Times New Roman"/>
            <w:szCs w:val="24"/>
          </w:rPr>
          <w:t>Borrow</w:t>
        </w:r>
      </w:hyperlink>
    </w:p>
    <w:p w:rsidR="00D16350" w:rsidRPr="00C20708" w:rsidRDefault="00D16350" w:rsidP="00D16350">
      <w:pPr>
        <w:rPr>
          <w:i/>
          <w:szCs w:val="24"/>
        </w:rPr>
      </w:pPr>
    </w:p>
    <w:p w:rsidR="00D16350" w:rsidRPr="00C20708" w:rsidRDefault="00B07981" w:rsidP="00D16350">
      <w:pPr>
        <w:ind w:firstLine="720"/>
        <w:rPr>
          <w:b/>
          <w:i/>
          <w:szCs w:val="24"/>
        </w:rPr>
      </w:pPr>
      <w:hyperlink r:id="rId16" w:history="1">
        <w:r w:rsidR="00D16350" w:rsidRPr="00C20708">
          <w:rPr>
            <w:rStyle w:val="Hyperlink"/>
            <w:b/>
            <w:i/>
            <w:szCs w:val="24"/>
          </w:rPr>
          <w:t>Intel Reader</w:t>
        </w:r>
      </w:hyperlink>
    </w:p>
    <w:p w:rsidR="00D16350" w:rsidRPr="00C20708" w:rsidRDefault="00D16350" w:rsidP="00D16350">
      <w:pPr>
        <w:ind w:left="720"/>
        <w:rPr>
          <w:i/>
          <w:szCs w:val="24"/>
        </w:rPr>
      </w:pPr>
      <w:r w:rsidRPr="00C20708">
        <w:rPr>
          <w:szCs w:val="24"/>
        </w:rPr>
        <w:t>The Intel Reader takes pictures of printed material. It then converts it to digital form and allows magnification and/or audio playback.</w:t>
      </w:r>
      <w:r w:rsidR="000E014E" w:rsidRPr="00C20708">
        <w:rPr>
          <w:rFonts w:eastAsia="Times New Roman"/>
          <w:szCs w:val="24"/>
        </w:rPr>
        <w:t xml:space="preserve"> </w:t>
      </w:r>
      <w:hyperlink r:id="rId17" w:history="1">
        <w:r w:rsidR="000E014E" w:rsidRPr="00C20708">
          <w:rPr>
            <w:rStyle w:val="Hyperlink"/>
            <w:rFonts w:eastAsia="Times New Roman"/>
            <w:szCs w:val="24"/>
          </w:rPr>
          <w:t xml:space="preserve"> Borrow</w:t>
        </w:r>
      </w:hyperlink>
    </w:p>
    <w:p w:rsidR="00D16350" w:rsidRPr="00C20708" w:rsidRDefault="00D16350" w:rsidP="00D16350">
      <w:pPr>
        <w:rPr>
          <w:i/>
          <w:szCs w:val="24"/>
        </w:rPr>
      </w:pPr>
    </w:p>
    <w:p w:rsidR="00D16350" w:rsidRPr="00C20708" w:rsidRDefault="00B07981" w:rsidP="00D16350">
      <w:pPr>
        <w:ind w:firstLine="720"/>
        <w:rPr>
          <w:b/>
          <w:i/>
          <w:szCs w:val="24"/>
        </w:rPr>
      </w:pPr>
      <w:hyperlink r:id="rId18" w:history="1">
        <w:r w:rsidR="00D16350" w:rsidRPr="00C20708">
          <w:rPr>
            <w:rStyle w:val="Hyperlink"/>
            <w:b/>
            <w:i/>
            <w:szCs w:val="24"/>
          </w:rPr>
          <w:t>Read Please</w:t>
        </w:r>
      </w:hyperlink>
    </w:p>
    <w:p w:rsidR="00D16350" w:rsidRPr="00C20708" w:rsidRDefault="00D16350" w:rsidP="00D16350">
      <w:pPr>
        <w:ind w:left="720"/>
        <w:rPr>
          <w:i/>
          <w:szCs w:val="24"/>
        </w:rPr>
      </w:pPr>
      <w:r w:rsidRPr="00C20708">
        <w:rPr>
          <w:szCs w:val="24"/>
        </w:rPr>
        <w:t>Reads any text that can be seen on a computer screen</w:t>
      </w:r>
      <w:r w:rsidR="00C20708" w:rsidRPr="00C20708">
        <w:rPr>
          <w:szCs w:val="24"/>
        </w:rPr>
        <w:t>—</w:t>
      </w:r>
      <w:r w:rsidRPr="00C20708">
        <w:rPr>
          <w:szCs w:val="24"/>
        </w:rPr>
        <w:t>all purpose text-to-speech software</w:t>
      </w:r>
      <w:r w:rsidRPr="00C20708">
        <w:rPr>
          <w:i/>
          <w:szCs w:val="24"/>
        </w:rPr>
        <w:t xml:space="preserve">. </w:t>
      </w:r>
      <w:hyperlink r:id="rId19" w:history="1">
        <w:r w:rsidRPr="00C20708">
          <w:rPr>
            <w:rStyle w:val="Hyperlink"/>
            <w:rFonts w:eastAsia="Times New Roman"/>
            <w:szCs w:val="24"/>
          </w:rPr>
          <w:t>Borrow</w:t>
        </w:r>
      </w:hyperlink>
    </w:p>
    <w:p w:rsidR="002D348D" w:rsidRPr="00C20708" w:rsidRDefault="002D348D">
      <w:pPr>
        <w:rPr>
          <w:b/>
          <w:szCs w:val="24"/>
        </w:rPr>
      </w:pPr>
    </w:p>
    <w:p w:rsidR="002D348D" w:rsidRPr="00794F68" w:rsidRDefault="002D348D" w:rsidP="00F21494">
      <w:pPr>
        <w:pStyle w:val="Heading1"/>
        <w:rPr>
          <w:rFonts w:ascii="Arial" w:hAnsi="Arial" w:cs="Arial"/>
          <w:color w:val="00B050"/>
        </w:rPr>
      </w:pPr>
      <w:bookmarkStart w:id="2" w:name="_Speech_Communication"/>
      <w:bookmarkEnd w:id="2"/>
      <w:r w:rsidRPr="00794F68">
        <w:rPr>
          <w:rFonts w:ascii="Arial" w:hAnsi="Arial" w:cs="Arial"/>
          <w:color w:val="00B050"/>
        </w:rPr>
        <w:t>Speech Communication</w:t>
      </w:r>
    </w:p>
    <w:p w:rsidR="002D348D" w:rsidRPr="00C20708" w:rsidRDefault="002D348D">
      <w:pPr>
        <w:rPr>
          <w:szCs w:val="24"/>
        </w:rPr>
      </w:pPr>
      <w:r w:rsidRPr="00C20708">
        <w:rPr>
          <w:szCs w:val="24"/>
        </w:rPr>
        <w:t>These products are designed to assist with speaking and face-to-face communication for individuals with speech disabilities.</w:t>
      </w:r>
    </w:p>
    <w:p w:rsidR="00705749" w:rsidRPr="00C20708" w:rsidRDefault="00705749">
      <w:pPr>
        <w:rPr>
          <w:szCs w:val="24"/>
        </w:rPr>
      </w:pPr>
    </w:p>
    <w:p w:rsidR="008F118B" w:rsidRPr="00C20708" w:rsidRDefault="00B07981" w:rsidP="008F118B">
      <w:pPr>
        <w:ind w:firstLine="720"/>
        <w:rPr>
          <w:b/>
          <w:i/>
          <w:szCs w:val="24"/>
        </w:rPr>
      </w:pPr>
      <w:hyperlink r:id="rId20" w:history="1">
        <w:r w:rsidR="00705749" w:rsidRPr="00C20708">
          <w:rPr>
            <w:rStyle w:val="Hyperlink"/>
            <w:b/>
            <w:i/>
            <w:szCs w:val="24"/>
          </w:rPr>
          <w:t>Lightwriter</w:t>
        </w:r>
      </w:hyperlink>
    </w:p>
    <w:p w:rsidR="008F118B" w:rsidRPr="00C20708" w:rsidRDefault="008F118B" w:rsidP="008F118B">
      <w:pPr>
        <w:ind w:left="720"/>
        <w:rPr>
          <w:szCs w:val="24"/>
        </w:rPr>
      </w:pPr>
      <w:proofErr w:type="spellStart"/>
      <w:r w:rsidRPr="00C20708">
        <w:rPr>
          <w:szCs w:val="24"/>
        </w:rPr>
        <w:t>Lightwriters</w:t>
      </w:r>
      <w:proofErr w:type="spellEnd"/>
      <w:r w:rsidRPr="00C20708">
        <w:rPr>
          <w:szCs w:val="24"/>
        </w:rPr>
        <w:t xml:space="preserve"> are text-to-speech </w:t>
      </w:r>
      <w:proofErr w:type="spellStart"/>
      <w:r w:rsidRPr="00C20708">
        <w:rPr>
          <w:szCs w:val="24"/>
        </w:rPr>
        <w:t>devices</w:t>
      </w:r>
      <w:proofErr w:type="gramStart"/>
      <w:r w:rsidR="00C20708" w:rsidRPr="00C20708">
        <w:rPr>
          <w:szCs w:val="24"/>
        </w:rPr>
        <w:t>;</w:t>
      </w:r>
      <w:r w:rsidRPr="00C20708">
        <w:rPr>
          <w:szCs w:val="24"/>
        </w:rPr>
        <w:t>the</w:t>
      </w:r>
      <w:proofErr w:type="spellEnd"/>
      <w:proofErr w:type="gramEnd"/>
      <w:r w:rsidRPr="00C20708">
        <w:rPr>
          <w:szCs w:val="24"/>
        </w:rPr>
        <w:t xml:space="preserve"> </w:t>
      </w:r>
      <w:r w:rsidR="00C20708" w:rsidRPr="00C20708">
        <w:rPr>
          <w:szCs w:val="24"/>
        </w:rPr>
        <w:t>user</w:t>
      </w:r>
      <w:r w:rsidRPr="00C20708">
        <w:rPr>
          <w:szCs w:val="24"/>
        </w:rPr>
        <w:t xml:space="preserve"> types a message on the keyboard, and this message is displayed on two displays, one facing the user and a second outfacing display for the communication partner(s). </w:t>
      </w:r>
      <w:r w:rsidR="00C20708" w:rsidRPr="00C20708">
        <w:rPr>
          <w:szCs w:val="24"/>
        </w:rPr>
        <w:t xml:space="preserve"> </w:t>
      </w:r>
      <w:r w:rsidRPr="00C20708">
        <w:rPr>
          <w:szCs w:val="24"/>
        </w:rPr>
        <w:t xml:space="preserve">A speech </w:t>
      </w:r>
      <w:r w:rsidR="00C20708" w:rsidRPr="00C20708">
        <w:rPr>
          <w:szCs w:val="24"/>
        </w:rPr>
        <w:t>synthesizer</w:t>
      </w:r>
      <w:r w:rsidRPr="00C20708">
        <w:rPr>
          <w:szCs w:val="24"/>
        </w:rPr>
        <w:t xml:space="preserve"> is also used to provide speech output. </w:t>
      </w:r>
      <w:hyperlink r:id="rId21" w:history="1">
        <w:r w:rsidRPr="00C20708">
          <w:rPr>
            <w:rStyle w:val="Hyperlink"/>
            <w:szCs w:val="24"/>
          </w:rPr>
          <w:t>Borrow</w:t>
        </w:r>
      </w:hyperlink>
    </w:p>
    <w:p w:rsidR="008F118B" w:rsidRPr="00C20708" w:rsidRDefault="008F118B">
      <w:pPr>
        <w:rPr>
          <w:szCs w:val="24"/>
        </w:rPr>
      </w:pPr>
    </w:p>
    <w:p w:rsidR="00705749" w:rsidRPr="00C20708" w:rsidRDefault="00705749" w:rsidP="008F118B">
      <w:pPr>
        <w:ind w:firstLine="720"/>
        <w:rPr>
          <w:b/>
          <w:i/>
          <w:szCs w:val="24"/>
        </w:rPr>
      </w:pPr>
      <w:r w:rsidRPr="00C20708">
        <w:rPr>
          <w:b/>
          <w:i/>
          <w:szCs w:val="24"/>
        </w:rPr>
        <w:t>Ultimate Speech Communication</w:t>
      </w:r>
    </w:p>
    <w:p w:rsidR="008F118B" w:rsidRPr="00C20708" w:rsidRDefault="008F118B" w:rsidP="008F118B">
      <w:pPr>
        <w:ind w:left="720"/>
        <w:rPr>
          <w:szCs w:val="24"/>
        </w:rPr>
      </w:pPr>
      <w:r w:rsidRPr="00C20708">
        <w:rPr>
          <w:szCs w:val="24"/>
        </w:rPr>
        <w:lastRenderedPageBreak/>
        <w:t>A text-to-speech device</w:t>
      </w:r>
      <w:r w:rsidR="00C20708" w:rsidRPr="00C20708">
        <w:rPr>
          <w:szCs w:val="24"/>
        </w:rPr>
        <w:t xml:space="preserve">:  </w:t>
      </w:r>
      <w:r w:rsidRPr="00C20708">
        <w:rPr>
          <w:szCs w:val="24"/>
        </w:rPr>
        <w:t xml:space="preserve">the </w:t>
      </w:r>
      <w:r w:rsidR="00C20708" w:rsidRPr="00C20708">
        <w:rPr>
          <w:szCs w:val="24"/>
        </w:rPr>
        <w:t>user</w:t>
      </w:r>
      <w:r w:rsidRPr="00C20708">
        <w:rPr>
          <w:szCs w:val="24"/>
        </w:rPr>
        <w:t xml:space="preserve"> types a message on the keyboard, and this message is displayed on two displays, one facing the user and a second outfacing display for the communication partner(s). A speech </w:t>
      </w:r>
      <w:r w:rsidR="00C20708" w:rsidRPr="00C20708">
        <w:rPr>
          <w:szCs w:val="24"/>
        </w:rPr>
        <w:t>synthesizer</w:t>
      </w:r>
      <w:r w:rsidRPr="00C20708">
        <w:rPr>
          <w:szCs w:val="24"/>
        </w:rPr>
        <w:t xml:space="preserve"> is also used to provide speech output. </w:t>
      </w:r>
      <w:hyperlink r:id="rId22" w:history="1">
        <w:r w:rsidRPr="00C20708">
          <w:rPr>
            <w:rStyle w:val="Hyperlink"/>
            <w:szCs w:val="24"/>
          </w:rPr>
          <w:t>Borrow</w:t>
        </w:r>
      </w:hyperlink>
    </w:p>
    <w:p w:rsidR="002D348D" w:rsidRPr="00C20708" w:rsidRDefault="002D348D">
      <w:pPr>
        <w:rPr>
          <w:b/>
          <w:szCs w:val="24"/>
        </w:rPr>
      </w:pPr>
    </w:p>
    <w:p w:rsidR="000865C4" w:rsidRPr="00794F68" w:rsidRDefault="000865C4" w:rsidP="00F21494">
      <w:pPr>
        <w:pStyle w:val="Heading1"/>
        <w:rPr>
          <w:rFonts w:ascii="Arial" w:hAnsi="Arial" w:cs="Arial"/>
          <w:color w:val="00B050"/>
        </w:rPr>
      </w:pPr>
      <w:bookmarkStart w:id="3" w:name="_Vision"/>
      <w:bookmarkEnd w:id="3"/>
      <w:r w:rsidRPr="00794F68">
        <w:rPr>
          <w:rFonts w:ascii="Arial" w:hAnsi="Arial" w:cs="Arial"/>
          <w:color w:val="00B050"/>
        </w:rPr>
        <w:t>Vision</w:t>
      </w:r>
    </w:p>
    <w:p w:rsidR="00CC7EBD" w:rsidRPr="00C20708" w:rsidRDefault="000865C4">
      <w:pPr>
        <w:rPr>
          <w:szCs w:val="24"/>
        </w:rPr>
      </w:pPr>
      <w:r w:rsidRPr="00C20708">
        <w:rPr>
          <w:szCs w:val="24"/>
        </w:rPr>
        <w:t>These products are designed to assist individuals who are blind or visually impaired. These products typically provide output of information through large print/display, synthetic speech or Braille/tactile.</w:t>
      </w:r>
      <w:r w:rsidR="00CC7EBD" w:rsidRPr="00C20708">
        <w:rPr>
          <w:szCs w:val="24"/>
        </w:rPr>
        <w:t xml:space="preserve"> </w:t>
      </w:r>
    </w:p>
    <w:p w:rsidR="00CC7EBD" w:rsidRPr="00C20708" w:rsidRDefault="00CC7EBD">
      <w:pPr>
        <w:rPr>
          <w:szCs w:val="24"/>
        </w:rPr>
      </w:pPr>
    </w:p>
    <w:p w:rsidR="006B228D" w:rsidRPr="00C20708" w:rsidRDefault="006B228D" w:rsidP="00CC7EBD">
      <w:pPr>
        <w:ind w:firstLine="720"/>
        <w:rPr>
          <w:i/>
          <w:szCs w:val="24"/>
        </w:rPr>
      </w:pPr>
    </w:p>
    <w:p w:rsidR="006B228D" w:rsidRPr="00C20708" w:rsidRDefault="006B228D" w:rsidP="00CC7EBD">
      <w:pPr>
        <w:ind w:firstLine="720"/>
        <w:rPr>
          <w:b/>
          <w:szCs w:val="24"/>
        </w:rPr>
      </w:pPr>
      <w:r w:rsidRPr="00C20708">
        <w:rPr>
          <w:b/>
          <w:szCs w:val="24"/>
        </w:rPr>
        <w:t>Notetakers</w:t>
      </w:r>
    </w:p>
    <w:p w:rsidR="006B228D" w:rsidRPr="00C20708" w:rsidRDefault="006B228D" w:rsidP="00CC7EBD">
      <w:pPr>
        <w:ind w:firstLine="720"/>
        <w:rPr>
          <w:color w:val="000000"/>
          <w:szCs w:val="24"/>
        </w:rPr>
      </w:pPr>
    </w:p>
    <w:p w:rsidR="006B228D" w:rsidRPr="00C20708" w:rsidRDefault="00B07981" w:rsidP="00CC7EBD">
      <w:pPr>
        <w:ind w:firstLine="720"/>
        <w:rPr>
          <w:i/>
          <w:color w:val="000000"/>
          <w:szCs w:val="24"/>
        </w:rPr>
      </w:pPr>
      <w:hyperlink r:id="rId23" w:history="1">
        <w:r w:rsidR="006B228D" w:rsidRPr="00C20708">
          <w:rPr>
            <w:rStyle w:val="Hyperlink"/>
            <w:i/>
            <w:szCs w:val="24"/>
          </w:rPr>
          <w:t>Braille Notetakers</w:t>
        </w:r>
      </w:hyperlink>
    </w:p>
    <w:p w:rsidR="006B228D" w:rsidRPr="00C20708" w:rsidRDefault="006B228D" w:rsidP="006B228D">
      <w:pPr>
        <w:ind w:left="720"/>
        <w:rPr>
          <w:i/>
          <w:szCs w:val="24"/>
        </w:rPr>
      </w:pPr>
      <w:r w:rsidRPr="00C20708">
        <w:rPr>
          <w:color w:val="000000"/>
          <w:szCs w:val="24"/>
        </w:rPr>
        <w:t xml:space="preserve">Braille </w:t>
      </w:r>
      <w:proofErr w:type="spellStart"/>
      <w:r w:rsidRPr="00C20708">
        <w:rPr>
          <w:color w:val="000000"/>
          <w:szCs w:val="24"/>
        </w:rPr>
        <w:t>notetakers</w:t>
      </w:r>
      <w:proofErr w:type="spellEnd"/>
      <w:r w:rsidRPr="00C20708">
        <w:rPr>
          <w:color w:val="000000"/>
          <w:szCs w:val="24"/>
        </w:rPr>
        <w:t xml:space="preserve"> are small, lightweight, portable devices with Braille keys for entering information.</w:t>
      </w:r>
      <w:r w:rsidR="00C20708" w:rsidRPr="00C20708">
        <w:rPr>
          <w:color w:val="000000"/>
          <w:szCs w:val="24"/>
        </w:rPr>
        <w:t xml:space="preserve"> </w:t>
      </w:r>
      <w:r w:rsidRPr="00C20708">
        <w:rPr>
          <w:color w:val="000000"/>
          <w:szCs w:val="24"/>
        </w:rPr>
        <w:t xml:space="preserve"> Braille notetakers are much like a computer, except that they have a fraction of both the cost and the memory. </w:t>
      </w:r>
      <w:hyperlink r:id="rId24" w:history="1">
        <w:r w:rsidRPr="00C20708">
          <w:rPr>
            <w:rStyle w:val="Hyperlink"/>
            <w:szCs w:val="24"/>
          </w:rPr>
          <w:t>Borrow</w:t>
        </w:r>
      </w:hyperlink>
    </w:p>
    <w:p w:rsidR="006B228D" w:rsidRPr="00C20708" w:rsidRDefault="006B228D" w:rsidP="00CC7EBD">
      <w:pPr>
        <w:ind w:firstLine="720"/>
        <w:rPr>
          <w:i/>
          <w:szCs w:val="24"/>
        </w:rPr>
      </w:pPr>
    </w:p>
    <w:p w:rsidR="00EF631F" w:rsidRPr="00C20708" w:rsidRDefault="00B07981" w:rsidP="00EF631F">
      <w:pPr>
        <w:ind w:firstLine="720"/>
        <w:rPr>
          <w:b/>
          <w:i/>
          <w:szCs w:val="24"/>
        </w:rPr>
      </w:pPr>
      <w:hyperlink r:id="rId25" w:history="1">
        <w:r w:rsidR="00EF631F" w:rsidRPr="00C20708">
          <w:rPr>
            <w:rStyle w:val="Hyperlink"/>
            <w:b/>
            <w:i/>
            <w:szCs w:val="24"/>
          </w:rPr>
          <w:t>Intel Reader</w:t>
        </w:r>
      </w:hyperlink>
    </w:p>
    <w:p w:rsidR="00EF631F" w:rsidRPr="00C20708" w:rsidRDefault="00EF631F" w:rsidP="00EF631F">
      <w:pPr>
        <w:ind w:left="720"/>
        <w:rPr>
          <w:i/>
          <w:szCs w:val="24"/>
        </w:rPr>
      </w:pPr>
      <w:r w:rsidRPr="00C20708">
        <w:rPr>
          <w:szCs w:val="24"/>
        </w:rPr>
        <w:t>The Intel Reader takes pictures of printed material</w:t>
      </w:r>
      <w:r w:rsidR="00C20708" w:rsidRPr="00C20708">
        <w:rPr>
          <w:szCs w:val="24"/>
        </w:rPr>
        <w:t xml:space="preserve">, </w:t>
      </w:r>
      <w:r w:rsidRPr="00C20708">
        <w:rPr>
          <w:szCs w:val="24"/>
        </w:rPr>
        <w:t xml:space="preserve">converts it to digital form and allows magnification and/or audio playback. </w:t>
      </w:r>
      <w:hyperlink r:id="rId26" w:history="1">
        <w:r w:rsidRPr="00C20708">
          <w:rPr>
            <w:rStyle w:val="Hyperlink"/>
            <w:rFonts w:eastAsia="Times New Roman"/>
            <w:szCs w:val="24"/>
          </w:rPr>
          <w:t>Borrow</w:t>
        </w:r>
      </w:hyperlink>
    </w:p>
    <w:p w:rsidR="00EF631F" w:rsidRPr="00C20708" w:rsidRDefault="00EF631F" w:rsidP="00EF631F">
      <w:pPr>
        <w:rPr>
          <w:i/>
          <w:szCs w:val="24"/>
        </w:rPr>
      </w:pPr>
    </w:p>
    <w:p w:rsidR="00EF631F" w:rsidRPr="00C20708" w:rsidRDefault="00B07981" w:rsidP="00CC7EBD">
      <w:pPr>
        <w:ind w:firstLine="720"/>
        <w:rPr>
          <w:i/>
          <w:szCs w:val="24"/>
        </w:rPr>
      </w:pPr>
      <w:hyperlink r:id="rId27" w:history="1">
        <w:r w:rsidR="00EF631F" w:rsidRPr="00C20708">
          <w:rPr>
            <w:rStyle w:val="Hyperlink"/>
            <w:i/>
            <w:szCs w:val="24"/>
          </w:rPr>
          <w:t>Kurzweil NFB Mobile Reader</w:t>
        </w:r>
      </w:hyperlink>
    </w:p>
    <w:p w:rsidR="00EF631F" w:rsidRPr="00C20708" w:rsidRDefault="00EF631F" w:rsidP="00EF631F">
      <w:pPr>
        <w:ind w:left="720"/>
        <w:rPr>
          <w:i/>
          <w:szCs w:val="24"/>
        </w:rPr>
      </w:pPr>
      <w:r w:rsidRPr="00C20708">
        <w:rPr>
          <w:szCs w:val="24"/>
        </w:rPr>
        <w:t>The Mobile Reader products can be activated and ready to use with the touch of a single button on the phone. The user takes a photo of the print to be read and the character recognition software in conjunction with high quality text-to-speech will read the contents of the document aloud. At the same time, it can display the print on the phone’s built-in screen and highlight each word as it is spoken.</w:t>
      </w:r>
      <w:r w:rsidR="000E014E" w:rsidRPr="00C20708">
        <w:rPr>
          <w:szCs w:val="24"/>
        </w:rPr>
        <w:t xml:space="preserve"> </w:t>
      </w:r>
      <w:hyperlink r:id="rId28" w:history="1">
        <w:r w:rsidR="000E014E" w:rsidRPr="00C20708">
          <w:rPr>
            <w:rStyle w:val="Hyperlink"/>
            <w:rFonts w:eastAsia="Times New Roman"/>
            <w:szCs w:val="24"/>
          </w:rPr>
          <w:t>Borrow</w:t>
        </w:r>
      </w:hyperlink>
    </w:p>
    <w:p w:rsidR="000E014E" w:rsidRPr="00C20708" w:rsidRDefault="000E014E" w:rsidP="00EF631F">
      <w:pPr>
        <w:ind w:firstLine="720"/>
        <w:rPr>
          <w:b/>
          <w:i/>
          <w:szCs w:val="24"/>
        </w:rPr>
      </w:pPr>
    </w:p>
    <w:p w:rsidR="00EF631F" w:rsidRPr="00C20708" w:rsidRDefault="00B07981" w:rsidP="00EF631F">
      <w:pPr>
        <w:ind w:firstLine="720"/>
        <w:rPr>
          <w:b/>
          <w:i/>
          <w:szCs w:val="24"/>
        </w:rPr>
      </w:pPr>
      <w:hyperlink r:id="rId29" w:history="1">
        <w:r w:rsidR="00EF631F" w:rsidRPr="00C20708">
          <w:rPr>
            <w:rStyle w:val="Hyperlink"/>
            <w:b/>
            <w:i/>
            <w:szCs w:val="24"/>
          </w:rPr>
          <w:t>Kurzweil 1000</w:t>
        </w:r>
      </w:hyperlink>
      <w:r w:rsidR="00EF631F" w:rsidRPr="00C20708">
        <w:rPr>
          <w:b/>
          <w:i/>
          <w:szCs w:val="24"/>
        </w:rPr>
        <w:t xml:space="preserve">  </w:t>
      </w:r>
    </w:p>
    <w:p w:rsidR="00EF631F" w:rsidRPr="00C20708" w:rsidRDefault="00EF631F" w:rsidP="00EF631F">
      <w:pPr>
        <w:ind w:left="720"/>
        <w:rPr>
          <w:rFonts w:eastAsia="Times New Roman"/>
          <w:szCs w:val="24"/>
        </w:rPr>
      </w:pPr>
      <w:r w:rsidRPr="00C20708">
        <w:rPr>
          <w:rFonts w:eastAsia="Times New Roman"/>
          <w:szCs w:val="24"/>
        </w:rPr>
        <w:t>Kurzweil 1000</w:t>
      </w:r>
      <w:r w:rsidRPr="00C20708">
        <w:rPr>
          <w:rFonts w:eastAsia="Times New Roman"/>
          <w:szCs w:val="24"/>
          <w:vertAlign w:val="superscript"/>
        </w:rPr>
        <w:t>TM</w:t>
      </w:r>
      <w:r w:rsidRPr="00C20708">
        <w:rPr>
          <w:rFonts w:eastAsia="Times New Roman"/>
          <w:szCs w:val="24"/>
        </w:rPr>
        <w:t xml:space="preserve"> is award-winning software that makes printed or electronic text readily available to people who are blind or visually impaired. It combines accessibility, communication and productivity tools to ease and enhance their reading, writing and learning experience. </w:t>
      </w:r>
      <w:hyperlink r:id="rId30" w:history="1">
        <w:r w:rsidRPr="00C20708">
          <w:rPr>
            <w:rStyle w:val="Hyperlink"/>
            <w:rFonts w:eastAsia="Times New Roman"/>
            <w:szCs w:val="24"/>
          </w:rPr>
          <w:t>Borrow</w:t>
        </w:r>
      </w:hyperlink>
    </w:p>
    <w:p w:rsidR="00EF631F" w:rsidRPr="00C20708" w:rsidRDefault="00EF631F" w:rsidP="00CC7EBD">
      <w:pPr>
        <w:ind w:firstLine="720"/>
        <w:rPr>
          <w:i/>
          <w:szCs w:val="24"/>
        </w:rPr>
      </w:pPr>
    </w:p>
    <w:p w:rsidR="00D16350" w:rsidRPr="00C20708" w:rsidRDefault="00B07981" w:rsidP="00CC7EBD">
      <w:pPr>
        <w:ind w:firstLine="720"/>
        <w:rPr>
          <w:b/>
          <w:i/>
          <w:szCs w:val="24"/>
        </w:rPr>
      </w:pPr>
      <w:hyperlink r:id="rId31" w:history="1">
        <w:r w:rsidR="00D16350" w:rsidRPr="00C20708">
          <w:rPr>
            <w:rStyle w:val="Hyperlink"/>
            <w:b/>
            <w:i/>
            <w:szCs w:val="24"/>
          </w:rPr>
          <w:t>JAWS</w:t>
        </w:r>
      </w:hyperlink>
    </w:p>
    <w:p w:rsidR="001A5E03" w:rsidRPr="00C20708" w:rsidRDefault="000E014E" w:rsidP="00C20708">
      <w:pPr>
        <w:ind w:left="720"/>
        <w:rPr>
          <w:rFonts w:eastAsia="Times New Roman"/>
          <w:szCs w:val="24"/>
        </w:rPr>
      </w:pPr>
      <w:r w:rsidRPr="00C20708">
        <w:rPr>
          <w:szCs w:val="24"/>
        </w:rPr>
        <w:t xml:space="preserve">Developed for computer users whose vision loss prevents them from seeing screen content, JAWS reads aloud what's on the PC screen. </w:t>
      </w:r>
      <w:hyperlink r:id="rId32" w:history="1">
        <w:r w:rsidRPr="00C20708">
          <w:rPr>
            <w:rStyle w:val="Hyperlink"/>
            <w:rFonts w:eastAsia="Times New Roman"/>
            <w:szCs w:val="24"/>
          </w:rPr>
          <w:t>Borrow</w:t>
        </w:r>
      </w:hyperlink>
    </w:p>
    <w:sectPr w:rsidR="001A5E03" w:rsidRPr="00C20708" w:rsidSect="00762F7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494" w:rsidRDefault="00F21494" w:rsidP="00865C6D">
      <w:r>
        <w:separator/>
      </w:r>
    </w:p>
  </w:endnote>
  <w:endnote w:type="continuationSeparator" w:id="0">
    <w:p w:rsidR="00F21494" w:rsidRDefault="00F21494" w:rsidP="00865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4" w:rsidRDefault="00F21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229"/>
      <w:docPartObj>
        <w:docPartGallery w:val="Page Numbers (Bottom of Page)"/>
        <w:docPartUnique/>
      </w:docPartObj>
    </w:sdtPr>
    <w:sdtEndPr>
      <w:rPr>
        <w:color w:val="7F7F7F" w:themeColor="background1" w:themeShade="7F"/>
        <w:spacing w:val="60"/>
      </w:rPr>
    </w:sdtEndPr>
    <w:sdtContent>
      <w:p w:rsidR="00F21494" w:rsidRDefault="00B07981">
        <w:pPr>
          <w:pStyle w:val="Footer"/>
          <w:pBdr>
            <w:top w:val="single" w:sz="4" w:space="1" w:color="D9D9D9" w:themeColor="background1" w:themeShade="D9"/>
          </w:pBdr>
          <w:rPr>
            <w:b/>
          </w:rPr>
        </w:pPr>
        <w:fldSimple w:instr=" PAGE   \* MERGEFORMAT ">
          <w:r w:rsidR="00794F68" w:rsidRPr="00794F68">
            <w:rPr>
              <w:b/>
              <w:noProof/>
            </w:rPr>
            <w:t>1</w:t>
          </w:r>
        </w:fldSimple>
        <w:r w:rsidR="00F21494">
          <w:rPr>
            <w:b/>
          </w:rPr>
          <w:t xml:space="preserve"> | </w:t>
        </w:r>
        <w:r w:rsidR="00F21494">
          <w:rPr>
            <w:color w:val="7F7F7F" w:themeColor="background1" w:themeShade="7F"/>
            <w:spacing w:val="60"/>
          </w:rPr>
          <w:t>Page                         Borrow Assistive Technology</w:t>
        </w:r>
      </w:p>
    </w:sdtContent>
  </w:sdt>
  <w:p w:rsidR="00F21494" w:rsidRDefault="00F21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4" w:rsidRDefault="00F21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494" w:rsidRDefault="00F21494" w:rsidP="00865C6D">
      <w:r>
        <w:separator/>
      </w:r>
    </w:p>
  </w:footnote>
  <w:footnote w:type="continuationSeparator" w:id="0">
    <w:p w:rsidR="00F21494" w:rsidRDefault="00F21494" w:rsidP="00865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4" w:rsidRDefault="00F21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4" w:rsidRDefault="00F21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4" w:rsidRDefault="00F21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652"/>
    <w:multiLevelType w:val="multilevel"/>
    <w:tmpl w:val="34BE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777863"/>
    <w:multiLevelType w:val="hybridMultilevel"/>
    <w:tmpl w:val="5D86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011E5"/>
    <w:multiLevelType w:val="multilevel"/>
    <w:tmpl w:val="41745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1021"/>
    <w:rsid w:val="000245E1"/>
    <w:rsid w:val="00043A2A"/>
    <w:rsid w:val="000865C4"/>
    <w:rsid w:val="000E014E"/>
    <w:rsid w:val="00116AB5"/>
    <w:rsid w:val="0014065C"/>
    <w:rsid w:val="0017220F"/>
    <w:rsid w:val="0019535E"/>
    <w:rsid w:val="001A5E03"/>
    <w:rsid w:val="001D1EBD"/>
    <w:rsid w:val="001D78C3"/>
    <w:rsid w:val="001F5C5D"/>
    <w:rsid w:val="002329D2"/>
    <w:rsid w:val="002D348D"/>
    <w:rsid w:val="005178E2"/>
    <w:rsid w:val="00612D6B"/>
    <w:rsid w:val="006312FF"/>
    <w:rsid w:val="00640A86"/>
    <w:rsid w:val="006A6421"/>
    <w:rsid w:val="006B228D"/>
    <w:rsid w:val="00705749"/>
    <w:rsid w:val="00733B11"/>
    <w:rsid w:val="00762F74"/>
    <w:rsid w:val="00783C58"/>
    <w:rsid w:val="00794F68"/>
    <w:rsid w:val="00865C6D"/>
    <w:rsid w:val="008F118B"/>
    <w:rsid w:val="009157AD"/>
    <w:rsid w:val="009874E8"/>
    <w:rsid w:val="009E73E4"/>
    <w:rsid w:val="00A73419"/>
    <w:rsid w:val="00AD168B"/>
    <w:rsid w:val="00B07981"/>
    <w:rsid w:val="00B21517"/>
    <w:rsid w:val="00BD58EB"/>
    <w:rsid w:val="00C147AA"/>
    <w:rsid w:val="00C20708"/>
    <w:rsid w:val="00C27E45"/>
    <w:rsid w:val="00C9135F"/>
    <w:rsid w:val="00CC0C77"/>
    <w:rsid w:val="00CC7EBD"/>
    <w:rsid w:val="00CE379B"/>
    <w:rsid w:val="00D16350"/>
    <w:rsid w:val="00EF631F"/>
    <w:rsid w:val="00F21494"/>
    <w:rsid w:val="00F31021"/>
    <w:rsid w:val="00FD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paragraph" w:styleId="Heading1">
    <w:name w:val="heading 1"/>
    <w:basedOn w:val="Normal"/>
    <w:next w:val="Normal"/>
    <w:link w:val="Heading1Char"/>
    <w:uiPriority w:val="9"/>
    <w:qFormat/>
    <w:rsid w:val="00640A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02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F31021"/>
    <w:rPr>
      <w:b/>
      <w:bCs/>
    </w:rPr>
  </w:style>
  <w:style w:type="character" w:styleId="Hyperlink">
    <w:name w:val="Hyperlink"/>
    <w:basedOn w:val="DefaultParagraphFont"/>
    <w:uiPriority w:val="99"/>
    <w:unhideWhenUsed/>
    <w:rsid w:val="000865C4"/>
    <w:rPr>
      <w:color w:val="0000FF" w:themeColor="hyperlink"/>
      <w:u w:val="single"/>
    </w:rPr>
  </w:style>
  <w:style w:type="character" w:styleId="FollowedHyperlink">
    <w:name w:val="FollowedHyperlink"/>
    <w:basedOn w:val="DefaultParagraphFont"/>
    <w:uiPriority w:val="99"/>
    <w:semiHidden/>
    <w:unhideWhenUsed/>
    <w:rsid w:val="000865C4"/>
    <w:rPr>
      <w:color w:val="800080" w:themeColor="followedHyperlink"/>
      <w:u w:val="single"/>
    </w:rPr>
  </w:style>
  <w:style w:type="paragraph" w:styleId="BalloonText">
    <w:name w:val="Balloon Text"/>
    <w:basedOn w:val="Normal"/>
    <w:link w:val="BalloonTextChar"/>
    <w:uiPriority w:val="99"/>
    <w:semiHidden/>
    <w:unhideWhenUsed/>
    <w:rsid w:val="009157AD"/>
    <w:rPr>
      <w:rFonts w:ascii="Tahoma" w:hAnsi="Tahoma" w:cs="Tahoma"/>
      <w:sz w:val="16"/>
      <w:szCs w:val="16"/>
    </w:rPr>
  </w:style>
  <w:style w:type="character" w:customStyle="1" w:styleId="BalloonTextChar">
    <w:name w:val="Balloon Text Char"/>
    <w:basedOn w:val="DefaultParagraphFont"/>
    <w:link w:val="BalloonText"/>
    <w:uiPriority w:val="99"/>
    <w:semiHidden/>
    <w:rsid w:val="009157AD"/>
    <w:rPr>
      <w:rFonts w:ascii="Tahoma" w:hAnsi="Tahoma" w:cs="Tahoma"/>
      <w:sz w:val="16"/>
      <w:szCs w:val="16"/>
    </w:rPr>
  </w:style>
  <w:style w:type="paragraph" w:styleId="Header">
    <w:name w:val="header"/>
    <w:basedOn w:val="Normal"/>
    <w:link w:val="HeaderChar"/>
    <w:uiPriority w:val="99"/>
    <w:semiHidden/>
    <w:unhideWhenUsed/>
    <w:rsid w:val="00865C6D"/>
    <w:pPr>
      <w:tabs>
        <w:tab w:val="center" w:pos="4680"/>
        <w:tab w:val="right" w:pos="9360"/>
      </w:tabs>
    </w:pPr>
  </w:style>
  <w:style w:type="character" w:customStyle="1" w:styleId="HeaderChar">
    <w:name w:val="Header Char"/>
    <w:basedOn w:val="DefaultParagraphFont"/>
    <w:link w:val="Header"/>
    <w:uiPriority w:val="99"/>
    <w:semiHidden/>
    <w:rsid w:val="00865C6D"/>
  </w:style>
  <w:style w:type="paragraph" w:styleId="Footer">
    <w:name w:val="footer"/>
    <w:basedOn w:val="Normal"/>
    <w:link w:val="FooterChar"/>
    <w:uiPriority w:val="99"/>
    <w:unhideWhenUsed/>
    <w:rsid w:val="00865C6D"/>
    <w:pPr>
      <w:tabs>
        <w:tab w:val="center" w:pos="4680"/>
        <w:tab w:val="right" w:pos="9360"/>
      </w:tabs>
    </w:pPr>
  </w:style>
  <w:style w:type="character" w:customStyle="1" w:styleId="FooterChar">
    <w:name w:val="Footer Char"/>
    <w:basedOn w:val="DefaultParagraphFont"/>
    <w:link w:val="Footer"/>
    <w:uiPriority w:val="99"/>
    <w:rsid w:val="00865C6D"/>
  </w:style>
  <w:style w:type="character" w:customStyle="1" w:styleId="Heading1Char">
    <w:name w:val="Heading 1 Char"/>
    <w:basedOn w:val="DefaultParagraphFont"/>
    <w:link w:val="Heading1"/>
    <w:uiPriority w:val="9"/>
    <w:rsid w:val="00640A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4F68"/>
    <w:pPr>
      <w:ind w:left="720"/>
      <w:contextualSpacing/>
    </w:pPr>
  </w:style>
</w:styles>
</file>

<file path=word/webSettings.xml><?xml version="1.0" encoding="utf-8"?>
<w:webSettings xmlns:r="http://schemas.openxmlformats.org/officeDocument/2006/relationships" xmlns:w="http://schemas.openxmlformats.org/wordprocessingml/2006/main">
  <w:divs>
    <w:div w:id="483938938">
      <w:bodyDiv w:val="1"/>
      <w:marLeft w:val="0"/>
      <w:marRight w:val="0"/>
      <w:marTop w:val="0"/>
      <w:marBottom w:val="0"/>
      <w:divBdr>
        <w:top w:val="none" w:sz="0" w:space="0" w:color="auto"/>
        <w:left w:val="none" w:sz="0" w:space="0" w:color="auto"/>
        <w:bottom w:val="none" w:sz="0" w:space="0" w:color="auto"/>
        <w:right w:val="none" w:sz="0" w:space="0" w:color="auto"/>
      </w:divBdr>
      <w:divsChild>
        <w:div w:id="65956385">
          <w:marLeft w:val="0"/>
          <w:marRight w:val="0"/>
          <w:marTop w:val="0"/>
          <w:marBottom w:val="0"/>
          <w:divBdr>
            <w:top w:val="none" w:sz="0" w:space="0" w:color="auto"/>
            <w:left w:val="none" w:sz="0" w:space="0" w:color="auto"/>
            <w:bottom w:val="none" w:sz="0" w:space="0" w:color="auto"/>
            <w:right w:val="none" w:sz="0" w:space="0" w:color="auto"/>
          </w:divBdr>
          <w:divsChild>
            <w:div w:id="4404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592">
      <w:bodyDiv w:val="1"/>
      <w:marLeft w:val="0"/>
      <w:marRight w:val="0"/>
      <w:marTop w:val="0"/>
      <w:marBottom w:val="0"/>
      <w:divBdr>
        <w:top w:val="none" w:sz="0" w:space="0" w:color="auto"/>
        <w:left w:val="none" w:sz="0" w:space="0" w:color="auto"/>
        <w:bottom w:val="none" w:sz="0" w:space="0" w:color="auto"/>
        <w:right w:val="none" w:sz="0" w:space="0" w:color="auto"/>
      </w:divBdr>
      <w:divsChild>
        <w:div w:id="986786006">
          <w:marLeft w:val="0"/>
          <w:marRight w:val="0"/>
          <w:marTop w:val="0"/>
          <w:marBottom w:val="0"/>
          <w:divBdr>
            <w:top w:val="none" w:sz="0" w:space="0" w:color="auto"/>
            <w:left w:val="none" w:sz="0" w:space="0" w:color="auto"/>
            <w:bottom w:val="none" w:sz="0" w:space="0" w:color="auto"/>
            <w:right w:val="none" w:sz="0" w:space="0" w:color="auto"/>
          </w:divBdr>
          <w:divsChild>
            <w:div w:id="1007246778">
              <w:marLeft w:val="2400"/>
              <w:marRight w:val="4200"/>
              <w:marTop w:val="0"/>
              <w:marBottom w:val="0"/>
              <w:divBdr>
                <w:top w:val="none" w:sz="0" w:space="0" w:color="auto"/>
                <w:left w:val="none" w:sz="0" w:space="0" w:color="auto"/>
                <w:bottom w:val="none" w:sz="0" w:space="0" w:color="auto"/>
                <w:right w:val="none" w:sz="0" w:space="0" w:color="auto"/>
              </w:divBdr>
            </w:div>
          </w:divsChild>
        </w:div>
      </w:divsChild>
    </w:div>
    <w:div w:id="1911426603">
      <w:bodyDiv w:val="1"/>
      <w:marLeft w:val="0"/>
      <w:marRight w:val="0"/>
      <w:marTop w:val="0"/>
      <w:marBottom w:val="0"/>
      <w:divBdr>
        <w:top w:val="none" w:sz="0" w:space="0" w:color="auto"/>
        <w:left w:val="none" w:sz="0" w:space="0" w:color="auto"/>
        <w:bottom w:val="none" w:sz="0" w:space="0" w:color="auto"/>
        <w:right w:val="none" w:sz="0" w:space="0" w:color="auto"/>
      </w:divBdr>
      <w:divsChild>
        <w:div w:id="1794060444">
          <w:marLeft w:val="0"/>
          <w:marRight w:val="0"/>
          <w:marTop w:val="0"/>
          <w:marBottom w:val="0"/>
          <w:divBdr>
            <w:top w:val="none" w:sz="0" w:space="0" w:color="auto"/>
            <w:left w:val="none" w:sz="0" w:space="0" w:color="auto"/>
            <w:bottom w:val="none" w:sz="0" w:space="0" w:color="auto"/>
            <w:right w:val="none" w:sz="0" w:space="0" w:color="auto"/>
          </w:divBdr>
          <w:divsChild>
            <w:div w:id="1319577966">
              <w:marLeft w:val="2400"/>
              <w:marRight w:val="42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ap.org/tryout/products.php?cat=6" TargetMode="External"/><Relationship Id="rId13" Type="http://schemas.openxmlformats.org/officeDocument/2006/relationships/hyperlink" Target="http://watap.org/tryout/products.php?cat=7" TargetMode="External"/><Relationship Id="rId18" Type="http://schemas.openxmlformats.org/officeDocument/2006/relationships/hyperlink" Target="http://www.readplease.com/" TargetMode="External"/><Relationship Id="rId26" Type="http://schemas.openxmlformats.org/officeDocument/2006/relationships/hyperlink" Target="http://watap.org/tryout/products.php?cat=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atap.org/tryout/products.php?cat=2" TargetMode="External"/><Relationship Id="rId34" Type="http://schemas.openxmlformats.org/officeDocument/2006/relationships/header" Target="header2.xml"/><Relationship Id="rId7" Type="http://schemas.openxmlformats.org/officeDocument/2006/relationships/hyperlink" Target="http://watap.org/tryout/borrowing.php" TargetMode="External"/><Relationship Id="rId12" Type="http://schemas.openxmlformats.org/officeDocument/2006/relationships/hyperlink" Target="http://www.kurzweiledu.com/kurz1000.html" TargetMode="External"/><Relationship Id="rId17" Type="http://schemas.openxmlformats.org/officeDocument/2006/relationships/hyperlink" Target="http://watap.org/tryout/products.php?cat=4" TargetMode="External"/><Relationship Id="rId25" Type="http://schemas.openxmlformats.org/officeDocument/2006/relationships/hyperlink" Target="http://www.intel.com/corporate/healthcare/emea/eng/reader/about.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ntel.com/corporate/healthcare/emea/eng/reader/about.htm" TargetMode="External"/><Relationship Id="rId20" Type="http://schemas.openxmlformats.org/officeDocument/2006/relationships/hyperlink" Target="http://www.toby-churchill.com/" TargetMode="External"/><Relationship Id="rId29" Type="http://schemas.openxmlformats.org/officeDocument/2006/relationships/hyperlink" Target="http://www.kurzweiledu.com/kurz10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tap.org/tryout/products.php?cat=6" TargetMode="External"/><Relationship Id="rId24" Type="http://schemas.openxmlformats.org/officeDocument/2006/relationships/hyperlink" Target="http://watap.org/tryout/products.php?cat=7" TargetMode="External"/><Relationship Id="rId32" Type="http://schemas.openxmlformats.org/officeDocument/2006/relationships/hyperlink" Target="http://watap.org/tryout/products.php?cat=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atap.org/tryout/products.php?cat=7" TargetMode="External"/><Relationship Id="rId23" Type="http://schemas.openxmlformats.org/officeDocument/2006/relationships/hyperlink" Target="http://www.disabilityresource.uic.edu/viewer.asp?tab=6&amp;label=Braille%20Notetakers" TargetMode="External"/><Relationship Id="rId28" Type="http://schemas.openxmlformats.org/officeDocument/2006/relationships/hyperlink" Target="http://watap.org/tryout/products.php?cat=7" TargetMode="External"/><Relationship Id="rId36" Type="http://schemas.openxmlformats.org/officeDocument/2006/relationships/footer" Target="footer2.xml"/><Relationship Id="rId10" Type="http://schemas.openxmlformats.org/officeDocument/2006/relationships/hyperlink" Target="http://watap.org/tryout/products.php?cat=6" TargetMode="External"/><Relationship Id="rId19" Type="http://schemas.openxmlformats.org/officeDocument/2006/relationships/hyperlink" Target="http://watap.org/tryout/products.php?cat=7" TargetMode="External"/><Relationship Id="rId31" Type="http://schemas.openxmlformats.org/officeDocument/2006/relationships/hyperlink" Target="http://www.freedomscientific.com/products/fs/jaws-product-page.asp" TargetMode="External"/><Relationship Id="rId4" Type="http://schemas.openxmlformats.org/officeDocument/2006/relationships/webSettings" Target="webSettings.xml"/><Relationship Id="rId9" Type="http://schemas.openxmlformats.org/officeDocument/2006/relationships/hyperlink" Target="http://www.centrumsound.com/easy_listener.html" TargetMode="External"/><Relationship Id="rId14" Type="http://schemas.openxmlformats.org/officeDocument/2006/relationships/hyperlink" Target="http://www.kurzweiledu.com/kurz3000.html" TargetMode="External"/><Relationship Id="rId22" Type="http://schemas.openxmlformats.org/officeDocument/2006/relationships/hyperlink" Target="http://watap.org/tryout/products.php?cat=2" TargetMode="External"/><Relationship Id="rId27" Type="http://schemas.openxmlformats.org/officeDocument/2006/relationships/hyperlink" Target="http://www.knfbreader.com/products-mobile.php" TargetMode="External"/><Relationship Id="rId30" Type="http://schemas.openxmlformats.org/officeDocument/2006/relationships/hyperlink" Target="http://watap.org/tryout/products.php?cat=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911User</dc:creator>
  <cp:lastModifiedBy>Shirley bondon</cp:lastModifiedBy>
  <cp:revision>8</cp:revision>
  <dcterms:created xsi:type="dcterms:W3CDTF">2011-05-18T14:48:00Z</dcterms:created>
  <dcterms:modified xsi:type="dcterms:W3CDTF">2011-05-27T21:35:00Z</dcterms:modified>
</cp:coreProperties>
</file>