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6C4" w:rsidRPr="00E2498F" w:rsidRDefault="00E43417" w:rsidP="00E2498F">
      <w:pPr>
        <w:pStyle w:val="NormalWeb"/>
        <w:jc w:val="center"/>
        <w:rPr>
          <w:rFonts w:ascii="Arial" w:hAnsi="Arial" w:cs="Arial"/>
          <w:b/>
          <w:sz w:val="28"/>
          <w:szCs w:val="28"/>
        </w:rPr>
      </w:pPr>
      <w:r>
        <w:rPr>
          <w:rFonts w:ascii="Arial" w:hAnsi="Arial" w:cs="Arial"/>
          <w:b/>
          <w:sz w:val="28"/>
          <w:szCs w:val="28"/>
        </w:rPr>
        <w:t xml:space="preserve">Frequently Requested </w:t>
      </w:r>
      <w:r w:rsidR="004A56C4" w:rsidRPr="00E2498F">
        <w:rPr>
          <w:rFonts w:ascii="Arial" w:hAnsi="Arial" w:cs="Arial"/>
          <w:b/>
          <w:sz w:val="28"/>
          <w:szCs w:val="28"/>
        </w:rPr>
        <w:t>Accommodations</w:t>
      </w:r>
    </w:p>
    <w:p w:rsidR="00547050" w:rsidRPr="00E50079" w:rsidRDefault="004A56C4" w:rsidP="00547050">
      <w:pPr>
        <w:pStyle w:val="NormalWeb"/>
        <w:rPr>
          <w:rFonts w:ascii="Arial" w:hAnsi="Arial" w:cs="Arial"/>
        </w:rPr>
      </w:pPr>
      <w:r>
        <w:rPr>
          <w:rFonts w:ascii="Arial" w:hAnsi="Arial" w:cs="Arial"/>
        </w:rPr>
        <w:t xml:space="preserve">The specific accommodation provided will </w:t>
      </w:r>
      <w:r w:rsidR="009C673D">
        <w:rPr>
          <w:rFonts w:ascii="Arial" w:hAnsi="Arial" w:cs="Arial"/>
        </w:rPr>
        <w:t xml:space="preserve">vary </w:t>
      </w:r>
      <w:r>
        <w:rPr>
          <w:rFonts w:ascii="Arial" w:hAnsi="Arial" w:cs="Arial"/>
        </w:rPr>
        <w:t>depend</w:t>
      </w:r>
      <w:r w:rsidR="009C673D">
        <w:rPr>
          <w:rFonts w:ascii="Arial" w:hAnsi="Arial" w:cs="Arial"/>
        </w:rPr>
        <w:t>ing</w:t>
      </w:r>
      <w:r>
        <w:rPr>
          <w:rFonts w:ascii="Arial" w:hAnsi="Arial" w:cs="Arial"/>
        </w:rPr>
        <w:t xml:space="preserve"> on the </w:t>
      </w:r>
      <w:r w:rsidR="009C673D">
        <w:rPr>
          <w:rFonts w:ascii="Arial" w:hAnsi="Arial" w:cs="Arial"/>
        </w:rPr>
        <w:t xml:space="preserve">nature of the disability, the individual’s preferred mode of communication and the length and complexity of the communication involved. </w:t>
      </w:r>
      <w:r w:rsidR="00547050" w:rsidRPr="00E50079">
        <w:rPr>
          <w:rFonts w:ascii="Arial" w:hAnsi="Arial" w:cs="Arial"/>
        </w:rPr>
        <w:t>Examples of potential reasonable accommodations</w:t>
      </w:r>
      <w:r w:rsidR="00200843">
        <w:rPr>
          <w:rFonts w:ascii="Arial" w:hAnsi="Arial" w:cs="Arial"/>
        </w:rPr>
        <w:t xml:space="preserve"> </w:t>
      </w:r>
      <w:r w:rsidR="009C673D">
        <w:rPr>
          <w:rFonts w:ascii="Arial" w:hAnsi="Arial" w:cs="Arial"/>
        </w:rPr>
        <w:t>within the following categories are provided below.</w:t>
      </w:r>
    </w:p>
    <w:p w:rsidR="005F38BB" w:rsidRPr="00E50079" w:rsidRDefault="005F38BB" w:rsidP="00200843">
      <w:pPr>
        <w:pStyle w:val="NormalWeb"/>
        <w:ind w:left="720"/>
        <w:rPr>
          <w:rFonts w:ascii="Arial" w:hAnsi="Arial" w:cs="Arial"/>
        </w:rPr>
      </w:pPr>
      <w:r w:rsidRPr="00E50079">
        <w:rPr>
          <w:rFonts w:ascii="Arial" w:hAnsi="Arial" w:cs="Arial"/>
        </w:rPr>
        <w:t xml:space="preserve">1) Reasonable modifications to a public entity's rules, policies, or practices; </w:t>
      </w:r>
    </w:p>
    <w:p w:rsidR="005F38BB" w:rsidRPr="00E50079" w:rsidRDefault="005F38BB" w:rsidP="00200843">
      <w:pPr>
        <w:pStyle w:val="NormalWeb"/>
        <w:ind w:left="720"/>
        <w:rPr>
          <w:rFonts w:ascii="Arial" w:hAnsi="Arial" w:cs="Arial"/>
        </w:rPr>
      </w:pPr>
      <w:r w:rsidRPr="00E50079">
        <w:rPr>
          <w:rFonts w:ascii="Arial" w:hAnsi="Arial" w:cs="Arial"/>
        </w:rPr>
        <w:t>2) Removal of architectural, communication, or transportation barriers; or</w:t>
      </w:r>
    </w:p>
    <w:p w:rsidR="00C03A21" w:rsidRDefault="00C03A21" w:rsidP="00200843">
      <w:pPr>
        <w:pStyle w:val="NormalWeb"/>
        <w:ind w:left="720"/>
        <w:rPr>
          <w:rFonts w:ascii="Arial" w:hAnsi="Arial" w:cs="Arial"/>
        </w:rPr>
      </w:pPr>
      <w:r w:rsidRPr="00E50079">
        <w:rPr>
          <w:rFonts w:ascii="Arial" w:hAnsi="Arial" w:cs="Arial"/>
        </w:rPr>
        <w:t>3) Provision of auxiliary aids and services.</w:t>
      </w:r>
    </w:p>
    <w:p w:rsidR="00684BDD" w:rsidRPr="00E43417" w:rsidRDefault="00627153" w:rsidP="00E43417">
      <w:pPr>
        <w:pStyle w:val="NormalWeb"/>
        <w:numPr>
          <w:ilvl w:val="0"/>
          <w:numId w:val="11"/>
        </w:numPr>
        <w:rPr>
          <w:rFonts w:ascii="Arial" w:hAnsi="Arial" w:cs="Arial"/>
        </w:rPr>
      </w:pPr>
      <w:hyperlink w:anchor="_Accommodations_for_people" w:history="1">
        <w:r w:rsidR="00684BDD" w:rsidRPr="00D32FCF">
          <w:rPr>
            <w:rStyle w:val="Hyperlink"/>
            <w:rFonts w:ascii="Arial" w:hAnsi="Arial" w:cs="Arial"/>
          </w:rPr>
          <w:t>Accommodations for people who are blind or visually impaired</w:t>
        </w:r>
      </w:hyperlink>
      <w:r w:rsidR="00684BDD" w:rsidRPr="00E43417">
        <w:rPr>
          <w:rFonts w:ascii="Arial" w:hAnsi="Arial" w:cs="Arial"/>
        </w:rPr>
        <w:t>.</w:t>
      </w:r>
    </w:p>
    <w:p w:rsidR="00684BDD" w:rsidRDefault="00627153" w:rsidP="00E43417">
      <w:pPr>
        <w:pStyle w:val="NormalWeb"/>
        <w:numPr>
          <w:ilvl w:val="0"/>
          <w:numId w:val="11"/>
        </w:numPr>
        <w:rPr>
          <w:rFonts w:ascii="Arial" w:hAnsi="Arial" w:cs="Arial"/>
        </w:rPr>
      </w:pPr>
      <w:hyperlink w:anchor="_Accommodations_for_people_1" w:history="1">
        <w:r w:rsidR="00684BDD" w:rsidRPr="00D32FCF">
          <w:rPr>
            <w:rStyle w:val="Hyperlink"/>
            <w:rFonts w:ascii="Arial" w:hAnsi="Arial" w:cs="Arial"/>
          </w:rPr>
          <w:t>Accommodations for people who are deaf or hard of hearing.</w:t>
        </w:r>
      </w:hyperlink>
    </w:p>
    <w:p w:rsidR="00D32FCF" w:rsidRDefault="00627153" w:rsidP="00D32FCF">
      <w:pPr>
        <w:pStyle w:val="NormalWeb"/>
        <w:numPr>
          <w:ilvl w:val="1"/>
          <w:numId w:val="11"/>
        </w:numPr>
        <w:rPr>
          <w:rFonts w:ascii="Arial" w:hAnsi="Arial" w:cs="Arial"/>
        </w:rPr>
      </w:pPr>
      <w:hyperlink w:anchor="_Assistive_Listening_Devices." w:history="1">
        <w:r w:rsidR="00D32FCF" w:rsidRPr="00D32FCF">
          <w:rPr>
            <w:rStyle w:val="Hyperlink"/>
            <w:rFonts w:ascii="Arial" w:hAnsi="Arial" w:cs="Arial"/>
          </w:rPr>
          <w:t>Assistive Listening Devices</w:t>
        </w:r>
      </w:hyperlink>
    </w:p>
    <w:p w:rsidR="00D32FCF" w:rsidRPr="00E43417" w:rsidRDefault="00627153" w:rsidP="00D32FCF">
      <w:pPr>
        <w:pStyle w:val="NormalWeb"/>
        <w:numPr>
          <w:ilvl w:val="1"/>
          <w:numId w:val="11"/>
        </w:numPr>
        <w:rPr>
          <w:rFonts w:ascii="Arial" w:hAnsi="Arial" w:cs="Arial"/>
        </w:rPr>
      </w:pPr>
      <w:hyperlink w:anchor="_Sign_Language_Interpreters." w:history="1">
        <w:r w:rsidR="00D32FCF" w:rsidRPr="00D32FCF">
          <w:rPr>
            <w:rStyle w:val="Hyperlink"/>
            <w:rFonts w:ascii="Arial" w:hAnsi="Arial" w:cs="Arial"/>
          </w:rPr>
          <w:t>Sign Language Interpreters</w:t>
        </w:r>
      </w:hyperlink>
    </w:p>
    <w:p w:rsidR="00684BDD" w:rsidRDefault="00627153" w:rsidP="00E43417">
      <w:pPr>
        <w:pStyle w:val="NormalWeb"/>
        <w:numPr>
          <w:ilvl w:val="0"/>
          <w:numId w:val="11"/>
        </w:numPr>
        <w:rPr>
          <w:rFonts w:ascii="Arial" w:hAnsi="Arial" w:cs="Arial"/>
        </w:rPr>
      </w:pPr>
      <w:hyperlink w:anchor="_Accommodations_for_people_3" w:history="1">
        <w:r w:rsidR="00806D1C" w:rsidRPr="00D32FCF">
          <w:rPr>
            <w:rStyle w:val="Hyperlink"/>
            <w:rFonts w:ascii="Arial" w:hAnsi="Arial" w:cs="Arial"/>
          </w:rPr>
          <w:t xml:space="preserve">Accommodations for people with disabilities related to speech, writing and other methods of communication </w:t>
        </w:r>
        <w:r w:rsidR="00684BDD" w:rsidRPr="00D32FCF">
          <w:rPr>
            <w:rStyle w:val="Hyperlink"/>
            <w:rFonts w:ascii="Arial" w:hAnsi="Arial" w:cs="Arial"/>
          </w:rPr>
          <w:t>Accommodations for people with cognitive disabilities.</w:t>
        </w:r>
      </w:hyperlink>
    </w:p>
    <w:p w:rsidR="00D32FCF" w:rsidRPr="00E43417" w:rsidRDefault="00627153" w:rsidP="00E43417">
      <w:pPr>
        <w:pStyle w:val="NormalWeb"/>
        <w:numPr>
          <w:ilvl w:val="0"/>
          <w:numId w:val="11"/>
        </w:numPr>
        <w:rPr>
          <w:rFonts w:ascii="Arial" w:hAnsi="Arial" w:cs="Arial"/>
        </w:rPr>
      </w:pPr>
      <w:hyperlink w:anchor="_Accommodations_for_people_4" w:history="1">
        <w:r w:rsidR="00D32FCF" w:rsidRPr="00D32FCF">
          <w:rPr>
            <w:rStyle w:val="Hyperlink"/>
            <w:rFonts w:ascii="Arial" w:hAnsi="Arial" w:cs="Arial"/>
          </w:rPr>
          <w:t>Accommodations for people with cognitive disabilities.</w:t>
        </w:r>
      </w:hyperlink>
    </w:p>
    <w:p w:rsidR="00684BDD" w:rsidRPr="00E43417" w:rsidRDefault="00806D1C" w:rsidP="00E43417">
      <w:pPr>
        <w:pStyle w:val="NormalWeb"/>
        <w:numPr>
          <w:ilvl w:val="0"/>
          <w:numId w:val="11"/>
        </w:numPr>
        <w:rPr>
          <w:rFonts w:ascii="Arial" w:hAnsi="Arial" w:cs="Arial"/>
        </w:rPr>
      </w:pPr>
      <w:r w:rsidRPr="00E43417">
        <w:rPr>
          <w:rFonts w:ascii="Arial" w:hAnsi="Arial" w:cs="Arial"/>
        </w:rPr>
        <w:t>.</w:t>
      </w:r>
      <w:hyperlink w:anchor="_Accommodations_for_people_2" w:history="1">
        <w:r w:rsidR="00684BDD" w:rsidRPr="00D32FCF">
          <w:rPr>
            <w:rStyle w:val="Hyperlink"/>
            <w:rFonts w:ascii="Arial" w:hAnsi="Arial" w:cs="Arial"/>
          </w:rPr>
          <w:t>Accommodations for people with dexterity limitations</w:t>
        </w:r>
      </w:hyperlink>
      <w:r w:rsidR="00684BDD" w:rsidRPr="00E43417">
        <w:rPr>
          <w:rFonts w:ascii="Arial" w:hAnsi="Arial" w:cs="Arial"/>
        </w:rPr>
        <w:t>.</w:t>
      </w:r>
    </w:p>
    <w:p w:rsidR="00684BDD" w:rsidRPr="00E43417" w:rsidRDefault="00627153" w:rsidP="00E43417">
      <w:pPr>
        <w:pStyle w:val="NormalWeb"/>
        <w:numPr>
          <w:ilvl w:val="0"/>
          <w:numId w:val="11"/>
        </w:numPr>
        <w:rPr>
          <w:rFonts w:ascii="Arial" w:hAnsi="Arial" w:cs="Arial"/>
        </w:rPr>
      </w:pPr>
      <w:hyperlink w:anchor="_Other_accommodations." w:history="1">
        <w:r w:rsidR="00684BDD" w:rsidRPr="00D32FCF">
          <w:rPr>
            <w:rStyle w:val="Hyperlink"/>
            <w:rFonts w:ascii="Arial" w:hAnsi="Arial" w:cs="Arial"/>
          </w:rPr>
          <w:t>Other accommodations.</w:t>
        </w:r>
      </w:hyperlink>
    </w:p>
    <w:p w:rsidR="00684BDD" w:rsidRPr="00684BDD" w:rsidRDefault="00684BDD" w:rsidP="00684BDD">
      <w:pPr>
        <w:pStyle w:val="NormalWeb"/>
        <w:rPr>
          <w:rFonts w:ascii="Arial" w:hAnsi="Arial" w:cs="Arial"/>
          <w:b/>
        </w:rPr>
      </w:pPr>
      <w:r w:rsidRPr="00684BDD">
        <w:rPr>
          <w:rFonts w:ascii="Arial" w:hAnsi="Arial" w:cs="Arial"/>
          <w:b/>
        </w:rPr>
        <w:t>______________________________________________________________________</w:t>
      </w:r>
    </w:p>
    <w:p w:rsidR="00684BDD" w:rsidRDefault="00684BDD" w:rsidP="00544D37">
      <w:pPr>
        <w:pStyle w:val="Heading1"/>
      </w:pPr>
      <w:bookmarkStart w:id="0" w:name="_Accommodations_for_people"/>
      <w:bookmarkEnd w:id="0"/>
      <w:r w:rsidRPr="00A55EBB">
        <w:lastRenderedPageBreak/>
        <w:t>Accommodations for people who are blind or visually impaired</w:t>
      </w:r>
      <w:r>
        <w:t>.</w:t>
      </w:r>
    </w:p>
    <w:p w:rsidR="00544D37" w:rsidRDefault="00544D37" w:rsidP="00A55EBB">
      <w:pPr>
        <w:autoSpaceDE w:val="0"/>
        <w:autoSpaceDN w:val="0"/>
        <w:adjustRightInd w:val="0"/>
        <w:rPr>
          <w:b/>
          <w:i/>
          <w:caps/>
        </w:rPr>
      </w:pPr>
    </w:p>
    <w:p w:rsidR="00D47433" w:rsidRDefault="00D47433" w:rsidP="00D47433">
      <w:pPr>
        <w:autoSpaceDE w:val="0"/>
        <w:autoSpaceDN w:val="0"/>
        <w:adjustRightInd w:val="0"/>
      </w:pPr>
      <w:r w:rsidRPr="0063512E">
        <w:rPr>
          <w:b/>
          <w:i/>
          <w:caps/>
        </w:rPr>
        <w:t>Illustration.</w:t>
      </w:r>
      <w:r w:rsidRPr="009F466F">
        <w:rPr>
          <w:b/>
          <w:caps/>
        </w:rPr>
        <w:t xml:space="preserve">  </w:t>
      </w:r>
      <w:r w:rsidR="0063512E">
        <w:t>Individual</w:t>
      </w:r>
      <w:r>
        <w:t xml:space="preserve"> is blind or has low vision.</w:t>
      </w:r>
    </w:p>
    <w:p w:rsidR="00D47433" w:rsidRDefault="00D47433" w:rsidP="00D47433">
      <w:pPr>
        <w:autoSpaceDE w:val="0"/>
        <w:autoSpaceDN w:val="0"/>
        <w:adjustRightInd w:val="0"/>
      </w:pPr>
    </w:p>
    <w:p w:rsidR="00D47433" w:rsidRDefault="0063512E" w:rsidP="00D47433">
      <w:pPr>
        <w:autoSpaceDE w:val="0"/>
        <w:autoSpaceDN w:val="0"/>
        <w:adjustRightInd w:val="0"/>
        <w:rPr>
          <w:b/>
          <w:bCs/>
          <w:szCs w:val="24"/>
        </w:rPr>
      </w:pPr>
      <w:r>
        <w:rPr>
          <w:b/>
          <w:bCs/>
          <w:szCs w:val="24"/>
        </w:rPr>
        <w:t>Suggested a</w:t>
      </w:r>
      <w:r w:rsidR="00D47433" w:rsidRPr="009F466F">
        <w:rPr>
          <w:b/>
          <w:bCs/>
          <w:szCs w:val="24"/>
        </w:rPr>
        <w:t>ccommodations</w:t>
      </w:r>
      <w:r>
        <w:rPr>
          <w:b/>
          <w:bCs/>
          <w:szCs w:val="24"/>
        </w:rPr>
        <w:t xml:space="preserve"> include:</w:t>
      </w:r>
    </w:p>
    <w:p w:rsidR="00D47433" w:rsidRPr="009F466F" w:rsidRDefault="00D47433" w:rsidP="00D47433">
      <w:pPr>
        <w:autoSpaceDE w:val="0"/>
        <w:autoSpaceDN w:val="0"/>
        <w:adjustRightInd w:val="0"/>
        <w:rPr>
          <w:b/>
          <w:bCs/>
          <w:szCs w:val="24"/>
        </w:rPr>
      </w:pPr>
    </w:p>
    <w:p w:rsidR="00844DE6" w:rsidRPr="00BD60EF" w:rsidRDefault="00844DE6" w:rsidP="00844DE6">
      <w:pPr>
        <w:pStyle w:val="ListParagraph"/>
        <w:numPr>
          <w:ilvl w:val="0"/>
          <w:numId w:val="6"/>
        </w:numPr>
        <w:autoSpaceDE w:val="0"/>
        <w:autoSpaceDN w:val="0"/>
        <w:adjustRightInd w:val="0"/>
        <w:rPr>
          <w:szCs w:val="24"/>
        </w:rPr>
      </w:pPr>
      <w:r w:rsidRPr="00BD60EF">
        <w:rPr>
          <w:szCs w:val="24"/>
        </w:rPr>
        <w:t xml:space="preserve">Provide </w:t>
      </w:r>
      <w:r>
        <w:rPr>
          <w:szCs w:val="24"/>
        </w:rPr>
        <w:t>better lighting</w:t>
      </w:r>
      <w:r w:rsidRPr="00BD60EF">
        <w:rPr>
          <w:szCs w:val="24"/>
        </w:rPr>
        <w:t>.</w:t>
      </w:r>
    </w:p>
    <w:p w:rsidR="00844DE6" w:rsidRPr="00BD60EF" w:rsidRDefault="00844DE6" w:rsidP="00844DE6">
      <w:pPr>
        <w:pStyle w:val="ListParagraph"/>
        <w:numPr>
          <w:ilvl w:val="0"/>
          <w:numId w:val="6"/>
        </w:numPr>
        <w:autoSpaceDE w:val="0"/>
        <w:autoSpaceDN w:val="0"/>
        <w:adjustRightInd w:val="0"/>
        <w:rPr>
          <w:szCs w:val="24"/>
        </w:rPr>
      </w:pPr>
      <w:r>
        <w:rPr>
          <w:szCs w:val="24"/>
        </w:rPr>
        <w:t xml:space="preserve">Move to a location with better </w:t>
      </w:r>
      <w:r w:rsidRPr="00BD60EF">
        <w:rPr>
          <w:szCs w:val="24"/>
        </w:rPr>
        <w:t>lighting.</w:t>
      </w:r>
    </w:p>
    <w:p w:rsidR="00D47433" w:rsidRDefault="00D47433" w:rsidP="00D47433">
      <w:pPr>
        <w:pStyle w:val="ListParagraph"/>
        <w:numPr>
          <w:ilvl w:val="0"/>
          <w:numId w:val="6"/>
        </w:numPr>
        <w:autoSpaceDE w:val="0"/>
        <w:autoSpaceDN w:val="0"/>
        <w:adjustRightInd w:val="0"/>
        <w:rPr>
          <w:szCs w:val="24"/>
        </w:rPr>
      </w:pPr>
      <w:r>
        <w:rPr>
          <w:szCs w:val="24"/>
        </w:rPr>
        <w:t>Adjust the lighting.</w:t>
      </w:r>
    </w:p>
    <w:p w:rsidR="00A12D9D" w:rsidRDefault="00A12D9D" w:rsidP="00D47433">
      <w:pPr>
        <w:pStyle w:val="ListParagraph"/>
        <w:numPr>
          <w:ilvl w:val="0"/>
          <w:numId w:val="6"/>
        </w:numPr>
        <w:autoSpaceDE w:val="0"/>
        <w:autoSpaceDN w:val="0"/>
        <w:adjustRightInd w:val="0"/>
        <w:rPr>
          <w:szCs w:val="24"/>
        </w:rPr>
      </w:pPr>
      <w:r>
        <w:rPr>
          <w:szCs w:val="24"/>
        </w:rPr>
        <w:t>Provide taped text.</w:t>
      </w:r>
    </w:p>
    <w:p w:rsidR="00D47433" w:rsidRDefault="00D47433" w:rsidP="00D47433">
      <w:pPr>
        <w:pStyle w:val="ListParagraph"/>
        <w:numPr>
          <w:ilvl w:val="0"/>
          <w:numId w:val="6"/>
        </w:numPr>
        <w:autoSpaceDE w:val="0"/>
        <w:autoSpaceDN w:val="0"/>
        <w:adjustRightInd w:val="0"/>
        <w:rPr>
          <w:szCs w:val="24"/>
        </w:rPr>
      </w:pPr>
      <w:r>
        <w:rPr>
          <w:szCs w:val="24"/>
        </w:rPr>
        <w:t xml:space="preserve">Provide qualified readers (individuals or electronic readers). </w:t>
      </w:r>
    </w:p>
    <w:p w:rsidR="00D47433" w:rsidRDefault="00D47433" w:rsidP="00D47433">
      <w:pPr>
        <w:pStyle w:val="ListParagraph"/>
        <w:numPr>
          <w:ilvl w:val="0"/>
          <w:numId w:val="6"/>
        </w:numPr>
        <w:autoSpaceDE w:val="0"/>
        <w:autoSpaceDN w:val="0"/>
        <w:adjustRightInd w:val="0"/>
        <w:rPr>
          <w:szCs w:val="24"/>
        </w:rPr>
      </w:pPr>
      <w:r>
        <w:rPr>
          <w:szCs w:val="24"/>
        </w:rPr>
        <w:t>Provide materials in Braille.</w:t>
      </w:r>
    </w:p>
    <w:p w:rsidR="00D47433" w:rsidRDefault="00D47433" w:rsidP="00D47433">
      <w:pPr>
        <w:pStyle w:val="ListParagraph"/>
        <w:numPr>
          <w:ilvl w:val="0"/>
          <w:numId w:val="6"/>
        </w:numPr>
        <w:autoSpaceDE w:val="0"/>
        <w:autoSpaceDN w:val="0"/>
        <w:adjustRightInd w:val="0"/>
        <w:rPr>
          <w:szCs w:val="24"/>
        </w:rPr>
      </w:pPr>
      <w:r>
        <w:rPr>
          <w:szCs w:val="24"/>
        </w:rPr>
        <w:t>Provide large print materials.</w:t>
      </w:r>
    </w:p>
    <w:p w:rsidR="00D47433" w:rsidRDefault="00D47433" w:rsidP="00D47433">
      <w:pPr>
        <w:pStyle w:val="ListParagraph"/>
        <w:numPr>
          <w:ilvl w:val="0"/>
          <w:numId w:val="6"/>
        </w:numPr>
        <w:autoSpaceDE w:val="0"/>
        <w:autoSpaceDN w:val="0"/>
        <w:adjustRightInd w:val="0"/>
        <w:rPr>
          <w:szCs w:val="24"/>
        </w:rPr>
      </w:pPr>
      <w:r>
        <w:rPr>
          <w:szCs w:val="24"/>
        </w:rPr>
        <w:t>Provide m</w:t>
      </w:r>
      <w:r w:rsidRPr="009F466F">
        <w:rPr>
          <w:szCs w:val="24"/>
        </w:rPr>
        <w:t>aterials in electronic format on compact</w:t>
      </w:r>
      <w:r>
        <w:rPr>
          <w:szCs w:val="24"/>
        </w:rPr>
        <w:t xml:space="preserve"> discs or in e-mails.</w:t>
      </w:r>
    </w:p>
    <w:p w:rsidR="00D47433" w:rsidRPr="009F466F" w:rsidRDefault="00D47433" w:rsidP="00D47433">
      <w:pPr>
        <w:pStyle w:val="ListParagraph"/>
        <w:numPr>
          <w:ilvl w:val="0"/>
          <w:numId w:val="6"/>
        </w:numPr>
        <w:autoSpaceDE w:val="0"/>
        <w:autoSpaceDN w:val="0"/>
        <w:adjustRightInd w:val="0"/>
        <w:rPr>
          <w:szCs w:val="24"/>
        </w:rPr>
      </w:pPr>
      <w:r>
        <w:rPr>
          <w:szCs w:val="24"/>
        </w:rPr>
        <w:t>Provide a</w:t>
      </w:r>
      <w:r w:rsidRPr="009F466F">
        <w:rPr>
          <w:szCs w:val="24"/>
        </w:rPr>
        <w:t>udio recordings.</w:t>
      </w:r>
    </w:p>
    <w:p w:rsidR="00A55EBB" w:rsidRPr="00684BDD" w:rsidRDefault="00684BDD" w:rsidP="00A55EBB">
      <w:pPr>
        <w:pStyle w:val="NormalWeb"/>
        <w:rPr>
          <w:rFonts w:ascii="Arial" w:hAnsi="Arial" w:cs="Arial"/>
          <w:b/>
        </w:rPr>
      </w:pPr>
      <w:r w:rsidRPr="00684BDD">
        <w:rPr>
          <w:rFonts w:ascii="Arial" w:hAnsi="Arial" w:cs="Arial"/>
          <w:b/>
        </w:rPr>
        <w:t>______________________________________________________________________</w:t>
      </w:r>
    </w:p>
    <w:p w:rsidR="00A55EBB" w:rsidRDefault="00A55EBB" w:rsidP="00544D37">
      <w:pPr>
        <w:pStyle w:val="Heading1"/>
      </w:pPr>
      <w:bookmarkStart w:id="1" w:name="_Accommodations_for_people_1"/>
      <w:bookmarkEnd w:id="1"/>
      <w:r w:rsidRPr="00A55EBB">
        <w:t>Accommodations for people who are deaf or hard of hearing.</w:t>
      </w:r>
    </w:p>
    <w:p w:rsidR="00D47433" w:rsidRPr="00E50079" w:rsidRDefault="00D47433" w:rsidP="00D47433">
      <w:pPr>
        <w:pStyle w:val="NormalWeb"/>
        <w:rPr>
          <w:rFonts w:ascii="Arial" w:hAnsi="Arial" w:cs="Arial"/>
        </w:rPr>
      </w:pPr>
      <w:r w:rsidRPr="00E50079">
        <w:rPr>
          <w:rFonts w:ascii="Arial" w:hAnsi="Arial" w:cs="Arial"/>
          <w:b/>
          <w:caps/>
        </w:rPr>
        <w:t xml:space="preserve">Illustration.  </w:t>
      </w:r>
      <w:r w:rsidR="0063512E">
        <w:rPr>
          <w:rFonts w:ascii="Arial" w:hAnsi="Arial" w:cs="Arial"/>
        </w:rPr>
        <w:t>Individual</w:t>
      </w:r>
      <w:r>
        <w:rPr>
          <w:rFonts w:ascii="Arial" w:hAnsi="Arial" w:cs="Arial"/>
        </w:rPr>
        <w:t xml:space="preserve"> has obvious hearing loss or provides documentation of hearing loss.</w:t>
      </w:r>
    </w:p>
    <w:p w:rsidR="00D47433" w:rsidRDefault="00D47433" w:rsidP="00D47433">
      <w:pPr>
        <w:autoSpaceDE w:val="0"/>
        <w:autoSpaceDN w:val="0"/>
        <w:adjustRightInd w:val="0"/>
      </w:pPr>
      <w:r w:rsidRPr="006A7370">
        <w:rPr>
          <w:b/>
        </w:rPr>
        <w:t>Suggested accommodation</w:t>
      </w:r>
      <w:r>
        <w:rPr>
          <w:b/>
        </w:rPr>
        <w:t>s</w:t>
      </w:r>
      <w:r w:rsidR="0063512E">
        <w:rPr>
          <w:b/>
        </w:rPr>
        <w:t xml:space="preserve"> include:</w:t>
      </w:r>
      <w:r>
        <w:t xml:space="preserve"> </w:t>
      </w:r>
    </w:p>
    <w:p w:rsidR="00D47433" w:rsidRDefault="00D47433" w:rsidP="00D47433">
      <w:pPr>
        <w:autoSpaceDE w:val="0"/>
        <w:autoSpaceDN w:val="0"/>
        <w:adjustRightInd w:val="0"/>
      </w:pPr>
    </w:p>
    <w:p w:rsidR="00D47433" w:rsidRDefault="0063512E" w:rsidP="00D47433">
      <w:pPr>
        <w:pStyle w:val="ListParagraph"/>
        <w:numPr>
          <w:ilvl w:val="0"/>
          <w:numId w:val="5"/>
        </w:numPr>
        <w:autoSpaceDE w:val="0"/>
        <w:autoSpaceDN w:val="0"/>
        <w:adjustRightInd w:val="0"/>
        <w:rPr>
          <w:szCs w:val="24"/>
        </w:rPr>
      </w:pPr>
      <w:r>
        <w:rPr>
          <w:szCs w:val="24"/>
        </w:rPr>
        <w:t>Provide w</w:t>
      </w:r>
      <w:r w:rsidR="00D47433" w:rsidRPr="009F466F">
        <w:rPr>
          <w:szCs w:val="24"/>
        </w:rPr>
        <w:t>ritten materials</w:t>
      </w:r>
      <w:r w:rsidR="00D47433">
        <w:rPr>
          <w:szCs w:val="24"/>
        </w:rPr>
        <w:t>.</w:t>
      </w:r>
    </w:p>
    <w:p w:rsidR="00D47433" w:rsidRDefault="0063512E" w:rsidP="00D47433">
      <w:pPr>
        <w:pStyle w:val="ListParagraph"/>
        <w:numPr>
          <w:ilvl w:val="0"/>
          <w:numId w:val="5"/>
        </w:numPr>
        <w:autoSpaceDE w:val="0"/>
        <w:autoSpaceDN w:val="0"/>
        <w:adjustRightInd w:val="0"/>
        <w:rPr>
          <w:szCs w:val="24"/>
        </w:rPr>
      </w:pPr>
      <w:r>
        <w:rPr>
          <w:szCs w:val="24"/>
        </w:rPr>
        <w:lastRenderedPageBreak/>
        <w:t xml:space="preserve">Provide </w:t>
      </w:r>
      <w:r w:rsidR="00A12D9D">
        <w:rPr>
          <w:szCs w:val="24"/>
        </w:rPr>
        <w:t>n</w:t>
      </w:r>
      <w:r w:rsidR="00D47433">
        <w:rPr>
          <w:szCs w:val="24"/>
        </w:rPr>
        <w:t>ote takers.</w:t>
      </w:r>
    </w:p>
    <w:p w:rsidR="00A12D9D" w:rsidRDefault="00A12D9D" w:rsidP="00D47433">
      <w:pPr>
        <w:pStyle w:val="ListParagraph"/>
        <w:numPr>
          <w:ilvl w:val="0"/>
          <w:numId w:val="5"/>
        </w:numPr>
        <w:autoSpaceDE w:val="0"/>
        <w:autoSpaceDN w:val="0"/>
        <w:adjustRightInd w:val="0"/>
        <w:rPr>
          <w:szCs w:val="24"/>
        </w:rPr>
      </w:pPr>
      <w:r>
        <w:rPr>
          <w:szCs w:val="24"/>
        </w:rPr>
        <w:t>Allow exchange of written notes.</w:t>
      </w:r>
    </w:p>
    <w:p w:rsidR="00D47433" w:rsidRDefault="0063512E" w:rsidP="00D47433">
      <w:pPr>
        <w:pStyle w:val="ListParagraph"/>
        <w:numPr>
          <w:ilvl w:val="0"/>
          <w:numId w:val="5"/>
        </w:numPr>
        <w:autoSpaceDE w:val="0"/>
        <w:autoSpaceDN w:val="0"/>
        <w:adjustRightInd w:val="0"/>
        <w:rPr>
          <w:szCs w:val="24"/>
        </w:rPr>
      </w:pPr>
      <w:r>
        <w:rPr>
          <w:szCs w:val="24"/>
        </w:rPr>
        <w:t>Provide o</w:t>
      </w:r>
      <w:r w:rsidR="00D47433">
        <w:rPr>
          <w:szCs w:val="24"/>
        </w:rPr>
        <w:t>pen and closed captioning.</w:t>
      </w:r>
    </w:p>
    <w:p w:rsidR="00D47433" w:rsidRPr="009F466F" w:rsidRDefault="0063512E" w:rsidP="00D47433">
      <w:pPr>
        <w:pStyle w:val="ListParagraph"/>
        <w:numPr>
          <w:ilvl w:val="0"/>
          <w:numId w:val="5"/>
        </w:numPr>
        <w:autoSpaceDE w:val="0"/>
        <w:autoSpaceDN w:val="0"/>
        <w:adjustRightInd w:val="0"/>
        <w:rPr>
          <w:szCs w:val="24"/>
        </w:rPr>
      </w:pPr>
      <w:r>
        <w:rPr>
          <w:szCs w:val="24"/>
        </w:rPr>
        <w:t>Provide v</w:t>
      </w:r>
      <w:r w:rsidR="00D47433">
        <w:rPr>
          <w:szCs w:val="24"/>
        </w:rPr>
        <w:t>ideotext displays.</w:t>
      </w:r>
    </w:p>
    <w:p w:rsidR="00D47433" w:rsidRPr="009F466F" w:rsidRDefault="0063512E" w:rsidP="00D47433">
      <w:pPr>
        <w:pStyle w:val="ListParagraph"/>
        <w:numPr>
          <w:ilvl w:val="0"/>
          <w:numId w:val="5"/>
        </w:numPr>
        <w:autoSpaceDE w:val="0"/>
        <w:autoSpaceDN w:val="0"/>
        <w:adjustRightInd w:val="0"/>
        <w:rPr>
          <w:szCs w:val="24"/>
        </w:rPr>
      </w:pPr>
      <w:r>
        <w:rPr>
          <w:szCs w:val="24"/>
        </w:rPr>
        <w:t>Provide assistive listening system.</w:t>
      </w:r>
    </w:p>
    <w:p w:rsidR="00D47433" w:rsidRDefault="0063512E" w:rsidP="00D47433">
      <w:pPr>
        <w:pStyle w:val="ListParagraph"/>
        <w:numPr>
          <w:ilvl w:val="0"/>
          <w:numId w:val="5"/>
        </w:numPr>
        <w:autoSpaceDE w:val="0"/>
        <w:autoSpaceDN w:val="0"/>
        <w:adjustRightInd w:val="0"/>
        <w:rPr>
          <w:szCs w:val="24"/>
        </w:rPr>
      </w:pPr>
      <w:r>
        <w:rPr>
          <w:szCs w:val="24"/>
        </w:rPr>
        <w:t>Provide q</w:t>
      </w:r>
      <w:r w:rsidR="00D47433" w:rsidRPr="009F466F">
        <w:rPr>
          <w:szCs w:val="24"/>
        </w:rPr>
        <w:t>ualified sign-language and</w:t>
      </w:r>
      <w:r w:rsidR="00D47433">
        <w:rPr>
          <w:szCs w:val="24"/>
        </w:rPr>
        <w:t xml:space="preserve"> oral interpreters</w:t>
      </w:r>
    </w:p>
    <w:p w:rsidR="00D47433" w:rsidRDefault="0063512E" w:rsidP="00D47433">
      <w:pPr>
        <w:pStyle w:val="ListParagraph"/>
        <w:numPr>
          <w:ilvl w:val="0"/>
          <w:numId w:val="5"/>
        </w:numPr>
        <w:autoSpaceDE w:val="0"/>
        <w:autoSpaceDN w:val="0"/>
        <w:adjustRightInd w:val="0"/>
        <w:rPr>
          <w:szCs w:val="24"/>
        </w:rPr>
      </w:pPr>
      <w:r>
        <w:rPr>
          <w:szCs w:val="24"/>
        </w:rPr>
        <w:t xml:space="preserve">Provide </w:t>
      </w:r>
      <w:r w:rsidR="00A12D9D">
        <w:rPr>
          <w:szCs w:val="24"/>
        </w:rPr>
        <w:t>c</w:t>
      </w:r>
      <w:r w:rsidR="00D47433" w:rsidRPr="009F466F">
        <w:rPr>
          <w:szCs w:val="24"/>
        </w:rPr>
        <w:t>ompute</w:t>
      </w:r>
      <w:r w:rsidR="00D47433">
        <w:rPr>
          <w:szCs w:val="24"/>
        </w:rPr>
        <w:t>r-aided transcription services.</w:t>
      </w:r>
    </w:p>
    <w:p w:rsidR="00D47433" w:rsidRPr="009F466F" w:rsidRDefault="00D47433" w:rsidP="00D47433">
      <w:pPr>
        <w:autoSpaceDE w:val="0"/>
        <w:autoSpaceDN w:val="0"/>
        <w:adjustRightInd w:val="0"/>
        <w:ind w:left="360"/>
        <w:rPr>
          <w:szCs w:val="24"/>
        </w:rPr>
      </w:pPr>
    </w:p>
    <w:p w:rsidR="00D47433" w:rsidRDefault="00544D37" w:rsidP="00544D37">
      <w:pPr>
        <w:pStyle w:val="Heading2"/>
      </w:pPr>
      <w:bookmarkStart w:id="2" w:name="_Assistive_Listening_Devices."/>
      <w:bookmarkEnd w:id="2"/>
      <w:r w:rsidRPr="00544D37">
        <w:rPr>
          <w:sz w:val="28"/>
          <w:szCs w:val="28"/>
        </w:rPr>
        <w:t>A</w:t>
      </w:r>
      <w:r>
        <w:rPr>
          <w:sz w:val="28"/>
          <w:szCs w:val="28"/>
        </w:rPr>
        <w:t>ssistive Listening D</w:t>
      </w:r>
      <w:r w:rsidR="00D47433" w:rsidRPr="00544D37">
        <w:rPr>
          <w:sz w:val="28"/>
          <w:szCs w:val="28"/>
        </w:rPr>
        <w:t>evices</w:t>
      </w:r>
      <w:r>
        <w:rPr>
          <w:sz w:val="28"/>
          <w:szCs w:val="28"/>
        </w:rPr>
        <w:t>.</w:t>
      </w:r>
    </w:p>
    <w:p w:rsidR="00D47433" w:rsidRPr="00E50079" w:rsidRDefault="00D47433" w:rsidP="00D47433">
      <w:r>
        <w:t>DOJ's regulations implementing Title</w:t>
      </w:r>
      <w:r w:rsidRPr="00E50079">
        <w:t xml:space="preserve"> II of the ADA require public entities and public accommodations to provide appropriate auxiliary aids and services where necessary to ensure effective communication. </w:t>
      </w:r>
    </w:p>
    <w:p w:rsidR="00D47433" w:rsidRPr="00E50079" w:rsidRDefault="00D47433" w:rsidP="00D47433">
      <w:pPr>
        <w:pStyle w:val="first"/>
        <w:shd w:val="clear" w:color="auto" w:fill="FFFFFF"/>
        <w:rPr>
          <w:rFonts w:ascii="Arial" w:hAnsi="Arial" w:cs="Arial"/>
          <w:color w:val="000000"/>
        </w:rPr>
      </w:pPr>
      <w:r>
        <w:rPr>
          <w:rFonts w:ascii="Arial" w:hAnsi="Arial" w:cs="Arial"/>
          <w:color w:val="000000"/>
        </w:rPr>
        <w:t>Th</w:t>
      </w:r>
      <w:r w:rsidRPr="00E50079">
        <w:rPr>
          <w:rFonts w:ascii="Arial" w:hAnsi="Arial" w:cs="Arial"/>
          <w:color w:val="000000"/>
        </w:rPr>
        <w:t>ere are hard-wired systems and three types of wireless systems</w:t>
      </w:r>
      <w:r>
        <w:rPr>
          <w:rFonts w:ascii="Arial" w:hAnsi="Arial" w:cs="Arial"/>
          <w:color w:val="000000"/>
        </w:rPr>
        <w:t xml:space="preserve"> assistive listening devices</w:t>
      </w:r>
      <w:r w:rsidRPr="00E50079">
        <w:rPr>
          <w:rFonts w:ascii="Arial" w:hAnsi="Arial" w:cs="Arial"/>
          <w:color w:val="000000"/>
        </w:rPr>
        <w:t>: induction loop, infrared, and FM radio transmission. Each has different advantages and disadvantages</w:t>
      </w:r>
      <w:r>
        <w:rPr>
          <w:rFonts w:ascii="Arial" w:hAnsi="Arial" w:cs="Arial"/>
          <w:color w:val="000000"/>
        </w:rPr>
        <w:t>.</w:t>
      </w:r>
      <w:r w:rsidRPr="00E50079">
        <w:rPr>
          <w:rFonts w:ascii="Arial" w:hAnsi="Arial" w:cs="Arial"/>
          <w:color w:val="000000"/>
        </w:rPr>
        <w:t xml:space="preserve"> For example, an FM system may be better than an infrared system in some open-air assemblies since infrared signals are less effective in sunlight. On the other hand, an infrared system is typically a better choice than an FM system where confidential transmission is important because it will be contained within a given space.</w:t>
      </w:r>
    </w:p>
    <w:p w:rsidR="00D47433" w:rsidRPr="0063512E" w:rsidRDefault="00D47433" w:rsidP="00D47433">
      <w:pPr>
        <w:pStyle w:val="NormalWeb"/>
        <w:shd w:val="clear" w:color="auto" w:fill="FFFFFF"/>
        <w:rPr>
          <w:rFonts w:ascii="Arial" w:hAnsi="Arial" w:cs="Arial"/>
          <w:b/>
          <w:color w:val="000000"/>
        </w:rPr>
      </w:pPr>
      <w:r w:rsidRPr="00E50079">
        <w:rPr>
          <w:rFonts w:ascii="Arial" w:hAnsi="Arial" w:cs="Arial"/>
          <w:color w:val="000000"/>
        </w:rPr>
        <w:t xml:space="preserve">The technical standards for assistive listening systems describe minimum performance levels for volume, interference, and distortion. </w:t>
      </w:r>
      <w:r w:rsidRPr="0063512E">
        <w:rPr>
          <w:rFonts w:ascii="Arial" w:hAnsi="Arial" w:cs="Arial"/>
          <w:b/>
          <w:color w:val="000000"/>
        </w:rPr>
        <w:t xml:space="preserve">It’s best to consult an expert about the court’s specific needs.  </w:t>
      </w:r>
    </w:p>
    <w:p w:rsidR="00D47433" w:rsidRPr="00E50079" w:rsidRDefault="00D47433" w:rsidP="00D47433">
      <w:pPr>
        <w:pStyle w:val="advisory"/>
        <w:shd w:val="clear" w:color="auto" w:fill="FFFFFF"/>
        <w:rPr>
          <w:rFonts w:ascii="Arial" w:hAnsi="Arial" w:cs="Arial"/>
          <w:color w:val="000000"/>
        </w:rPr>
      </w:pPr>
      <w:r w:rsidRPr="00EB0B6D">
        <w:rPr>
          <w:rFonts w:ascii="Arial" w:hAnsi="Arial" w:cs="Arial"/>
        </w:rPr>
        <w:lastRenderedPageBreak/>
        <w:t>Where assistive listening systems are used to provide effective communic</w:t>
      </w:r>
      <w:r>
        <w:rPr>
          <w:rFonts w:ascii="Arial" w:hAnsi="Arial" w:cs="Arial"/>
        </w:rPr>
        <w:t>ation, the DOJ</w:t>
      </w:r>
      <w:r w:rsidRPr="00EB0B6D">
        <w:rPr>
          <w:rFonts w:ascii="Arial" w:hAnsi="Arial" w:cs="Arial"/>
        </w:rPr>
        <w:t xml:space="preserve"> considers it essential that a portion of receivers be compatible with hearing aids. </w:t>
      </w:r>
      <w:r w:rsidRPr="00EB0B6D">
        <w:rPr>
          <w:rFonts w:ascii="Arial" w:hAnsi="Arial" w:cs="Arial"/>
          <w:color w:val="000000"/>
        </w:rPr>
        <w:t>Neckloops and headsets that can be worn as neckloops are compatible with hearing aids. Receivers that are not compatible include</w:t>
      </w:r>
      <w:r w:rsidRPr="00E50079">
        <w:rPr>
          <w:rFonts w:ascii="Arial" w:hAnsi="Arial" w:cs="Arial"/>
          <w:color w:val="000000"/>
        </w:rPr>
        <w:t xml:space="preserve"> earbuds, which may require removal of hearing aids, earphones, and headsets that must be worn over the ear, which can create disruptive interference in the transmission and can be uncomfortable for people wearing hearing aids.</w:t>
      </w:r>
    </w:p>
    <w:p w:rsidR="00D47433" w:rsidRDefault="00D47433" w:rsidP="00D47433">
      <w:pPr>
        <w:pStyle w:val="NormalWeb"/>
        <w:shd w:val="clear" w:color="auto" w:fill="FFFFFF"/>
        <w:rPr>
          <w:rFonts w:ascii="Arial" w:hAnsi="Arial" w:cs="Arial"/>
          <w:color w:val="000000"/>
        </w:rPr>
      </w:pPr>
      <w:r w:rsidRPr="00E50079">
        <w:rPr>
          <w:rFonts w:ascii="Arial" w:hAnsi="Arial" w:cs="Arial"/>
          <w:color w:val="000000"/>
        </w:rPr>
        <w:t xml:space="preserve">Receivers </w:t>
      </w:r>
      <w:r>
        <w:rPr>
          <w:rFonts w:ascii="Arial" w:hAnsi="Arial" w:cs="Arial"/>
          <w:color w:val="000000"/>
        </w:rPr>
        <w:t>s</w:t>
      </w:r>
      <w:r w:rsidRPr="00E50079">
        <w:rPr>
          <w:rFonts w:ascii="Arial" w:hAnsi="Arial" w:cs="Arial"/>
          <w:color w:val="000000"/>
        </w:rPr>
        <w:t xml:space="preserve">hall be provided for assistive listening systems in each assembly area in accordance with </w:t>
      </w:r>
      <w:r>
        <w:rPr>
          <w:rFonts w:ascii="Arial" w:hAnsi="Arial" w:cs="Arial"/>
          <w:color w:val="000000"/>
        </w:rPr>
        <w:t xml:space="preserve">the </w:t>
      </w:r>
      <w:r w:rsidRPr="00E50079">
        <w:rPr>
          <w:rFonts w:ascii="Arial" w:hAnsi="Arial" w:cs="Arial"/>
          <w:color w:val="000000"/>
        </w:rPr>
        <w:t xml:space="preserve">Table </w:t>
      </w:r>
      <w:r>
        <w:rPr>
          <w:rFonts w:ascii="Arial" w:hAnsi="Arial" w:cs="Arial"/>
          <w:color w:val="000000"/>
        </w:rPr>
        <w:t>below.</w:t>
      </w:r>
      <w:r w:rsidRPr="00E50079">
        <w:rPr>
          <w:rFonts w:ascii="Arial" w:hAnsi="Arial" w:cs="Arial"/>
          <w:color w:val="000000"/>
        </w:rPr>
        <w:t xml:space="preserve"> Twenty-five percent minimum of receivers provided, but no fewer than two, shall be hearing-aid compatible</w:t>
      </w:r>
      <w:r>
        <w:rPr>
          <w:rFonts w:ascii="Arial" w:hAnsi="Arial" w:cs="Arial"/>
          <w:color w:val="000000"/>
        </w:rPr>
        <w:t>.</w:t>
      </w:r>
    </w:p>
    <w:p w:rsidR="00D47433" w:rsidRPr="00E50079" w:rsidRDefault="00D47433" w:rsidP="00D47433">
      <w:pPr>
        <w:pStyle w:val="NormalWeb"/>
        <w:shd w:val="clear" w:color="auto" w:fill="FFFFFF"/>
        <w:rPr>
          <w:rFonts w:ascii="Arial" w:hAnsi="Arial" w:cs="Arial"/>
          <w:color w:val="000000"/>
        </w:rPr>
      </w:pPr>
      <w:r w:rsidRPr="00E50079">
        <w:rPr>
          <w:rFonts w:ascii="Arial" w:hAnsi="Arial" w:cs="Arial"/>
          <w:color w:val="000000"/>
        </w:rPr>
        <w:t xml:space="preserve">EXCEPTIONS: </w:t>
      </w:r>
      <w:r w:rsidRPr="00E50079">
        <w:rPr>
          <w:rStyle w:val="bluehighlight"/>
          <w:rFonts w:ascii="Arial" w:hAnsi="Arial" w:cs="Arial"/>
          <w:color w:val="000000"/>
        </w:rPr>
        <w:t>1</w:t>
      </w:r>
      <w:r w:rsidRPr="00E50079">
        <w:rPr>
          <w:rFonts w:ascii="Arial" w:hAnsi="Arial" w:cs="Arial"/>
          <w:color w:val="000000"/>
        </w:rPr>
        <w:t>. Where a building contains more than one assembly area and the assembly areas required to provide assistive listening systems are under one management, the total number of required receivers shall be permitted to be calculated according to the total number of seats in the assembly areas in the building provided that all receivers are usable with all systems.</w:t>
      </w:r>
    </w:p>
    <w:p w:rsidR="00D47433" w:rsidRDefault="00D47433" w:rsidP="00D47433">
      <w:pPr>
        <w:pStyle w:val="NormalWeb"/>
        <w:shd w:val="clear" w:color="auto" w:fill="FFFFFF"/>
        <w:rPr>
          <w:rFonts w:ascii="Arial" w:hAnsi="Arial" w:cs="Arial"/>
          <w:color w:val="000000"/>
        </w:rPr>
      </w:pPr>
      <w:r w:rsidRPr="00E50079">
        <w:rPr>
          <w:rFonts w:ascii="Arial" w:hAnsi="Arial" w:cs="Arial"/>
          <w:color w:val="000000"/>
        </w:rPr>
        <w:t xml:space="preserve">Where all seats in an assembly area are served by an induction loop assistive listening system, the minimum number of receivers required by </w:t>
      </w:r>
      <w:r>
        <w:rPr>
          <w:rFonts w:ascii="Arial" w:hAnsi="Arial" w:cs="Arial"/>
          <w:color w:val="000000"/>
        </w:rPr>
        <w:t xml:space="preserve">the Table below </w:t>
      </w:r>
      <w:r w:rsidRPr="00E50079">
        <w:rPr>
          <w:rFonts w:ascii="Arial" w:hAnsi="Arial" w:cs="Arial"/>
          <w:color w:val="000000"/>
        </w:rPr>
        <w:t>to be hearing-aid compatible shall not be required to be provided.</w:t>
      </w:r>
    </w:p>
    <w:p w:rsidR="00D47433" w:rsidRDefault="00D47433" w:rsidP="00D47433">
      <w:pPr>
        <w:rPr>
          <w:rFonts w:eastAsia="Times New Roman"/>
          <w:color w:val="00000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9"/>
        <w:gridCol w:w="3505"/>
        <w:gridCol w:w="3716"/>
      </w:tblGrid>
      <w:tr w:rsidR="00D47433" w:rsidRPr="00E50079" w:rsidTr="00A12D9D">
        <w:trPr>
          <w:tblHeader/>
          <w:tblCellSpacing w:w="15" w:type="dxa"/>
        </w:trPr>
        <w:tc>
          <w:tcPr>
            <w:tcW w:w="0" w:type="auto"/>
            <w:gridSpan w:val="3"/>
            <w:tcBorders>
              <w:top w:val="nil"/>
              <w:left w:val="nil"/>
              <w:bottom w:val="nil"/>
              <w:right w:val="nil"/>
            </w:tcBorders>
            <w:tcMar>
              <w:top w:w="120" w:type="dxa"/>
              <w:left w:w="120" w:type="dxa"/>
              <w:bottom w:w="120" w:type="dxa"/>
              <w:right w:w="120" w:type="dxa"/>
            </w:tcMar>
            <w:vAlign w:val="center"/>
            <w:hideMark/>
          </w:tcPr>
          <w:p w:rsidR="00D47433" w:rsidRPr="00E50079" w:rsidRDefault="00D47433" w:rsidP="00A12D9D">
            <w:pPr>
              <w:spacing w:after="120"/>
              <w:jc w:val="center"/>
              <w:rPr>
                <w:szCs w:val="24"/>
              </w:rPr>
            </w:pPr>
            <w:r w:rsidRPr="00E50079">
              <w:rPr>
                <w:szCs w:val="24"/>
              </w:rPr>
              <w:lastRenderedPageBreak/>
              <w:t>Receivers f</w:t>
            </w:r>
            <w:r>
              <w:rPr>
                <w:szCs w:val="24"/>
              </w:rPr>
              <w:t>or Assistive Listening System</w:t>
            </w:r>
          </w:p>
        </w:tc>
      </w:tr>
      <w:tr w:rsidR="00D47433" w:rsidRPr="00E50079" w:rsidTr="00A12D9D">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jc w:val="center"/>
              <w:rPr>
                <w:b/>
                <w:bCs/>
                <w:szCs w:val="24"/>
              </w:rPr>
            </w:pPr>
            <w:r w:rsidRPr="00E50079">
              <w:rPr>
                <w:b/>
                <w:bCs/>
                <w:szCs w:val="24"/>
              </w:rPr>
              <w:t>Capacity of Seating</w:t>
            </w:r>
            <w:r w:rsidRPr="00E50079">
              <w:rPr>
                <w:b/>
                <w:bCs/>
                <w:szCs w:val="24"/>
              </w:rPr>
              <w:br/>
              <w:t>in Assembly Area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jc w:val="center"/>
              <w:rPr>
                <w:b/>
                <w:bCs/>
                <w:szCs w:val="24"/>
              </w:rPr>
            </w:pPr>
            <w:r w:rsidRPr="00E50079">
              <w:rPr>
                <w:b/>
                <w:bCs/>
                <w:szCs w:val="24"/>
              </w:rPr>
              <w:t>Minimum Number of</w:t>
            </w:r>
            <w:r w:rsidRPr="00E50079">
              <w:rPr>
                <w:b/>
                <w:bCs/>
                <w:szCs w:val="24"/>
              </w:rPr>
              <w:br/>
              <w:t>Required Receivers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jc w:val="center"/>
              <w:rPr>
                <w:b/>
                <w:bCs/>
                <w:szCs w:val="24"/>
              </w:rPr>
            </w:pPr>
            <w:r w:rsidRPr="00E50079">
              <w:rPr>
                <w:b/>
                <w:bCs/>
                <w:szCs w:val="24"/>
              </w:rPr>
              <w:t>Minimum Number of Required Receivers</w:t>
            </w:r>
            <w:r w:rsidRPr="00E50079">
              <w:rPr>
                <w:b/>
                <w:bCs/>
                <w:szCs w:val="24"/>
              </w:rPr>
              <w:br/>
              <w:t>Required to be Hearing-aid Compatible</w:t>
            </w:r>
          </w:p>
        </w:tc>
      </w:tr>
      <w:tr w:rsidR="00D47433" w:rsidRPr="00E50079" w:rsidTr="00A12D9D">
        <w:trPr>
          <w:tblCellSpacing w:w="15" w:type="dxa"/>
        </w:trPr>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rStyle w:val="bluehighlight"/>
                <w:szCs w:val="24"/>
              </w:rPr>
              <w:t>1</w:t>
            </w:r>
            <w:r w:rsidRPr="00E50079">
              <w:rPr>
                <w:szCs w:val="24"/>
              </w:rPr>
              <w:t>. Or fraction thereof.</w:t>
            </w:r>
          </w:p>
        </w:tc>
      </w:tr>
      <w:tr w:rsidR="00D47433" w:rsidRPr="00E50079" w:rsidTr="00A12D9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szCs w:val="24"/>
              </w:rPr>
              <w:t>50 or less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rStyle w:val="bluehighlight"/>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rStyle w:val="bluehighlight"/>
                <w:szCs w:val="24"/>
              </w:rPr>
              <w:t>2</w:t>
            </w:r>
          </w:p>
        </w:tc>
      </w:tr>
      <w:tr w:rsidR="00D47433" w:rsidRPr="00E50079" w:rsidTr="00A12D9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szCs w:val="24"/>
              </w:rPr>
              <w:t>51 to 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Pr>
                <w:rStyle w:val="bluehighlight"/>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rStyle w:val="bluehighlight"/>
                <w:szCs w:val="24"/>
              </w:rPr>
              <w:t>2</w:t>
            </w:r>
          </w:p>
        </w:tc>
      </w:tr>
      <w:tr w:rsidR="00D47433" w:rsidRPr="00E50079" w:rsidTr="00A12D9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szCs w:val="24"/>
              </w:rPr>
              <w:t>76 - 100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rStyle w:val="bluehighlight"/>
                <w:szCs w:val="24"/>
              </w:rPr>
            </w:pPr>
            <w:r w:rsidRPr="00E50079">
              <w:rPr>
                <w:rStyle w:val="bluehighlight"/>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rStyle w:val="bluehighlight"/>
                <w:szCs w:val="24"/>
              </w:rPr>
            </w:pPr>
            <w:r w:rsidRPr="00E50079">
              <w:rPr>
                <w:rStyle w:val="bluehighlight"/>
                <w:szCs w:val="24"/>
              </w:rPr>
              <w:t>2</w:t>
            </w:r>
          </w:p>
        </w:tc>
      </w:tr>
      <w:tr w:rsidR="00D47433" w:rsidRPr="00E50079" w:rsidTr="00A12D9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szCs w:val="24"/>
              </w:rPr>
              <w:t>101- 125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rStyle w:val="bluehighlight"/>
                <w:szCs w:val="24"/>
              </w:rPr>
            </w:pPr>
            <w:r w:rsidRPr="00E50079">
              <w:rPr>
                <w:rStyle w:val="bluehighlight"/>
                <w:szCs w:val="24"/>
              </w:rPr>
              <w:t xml:space="preserve">5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rStyle w:val="bluehighlight"/>
                <w:szCs w:val="24"/>
              </w:rPr>
            </w:pPr>
            <w:r w:rsidRPr="00E50079">
              <w:rPr>
                <w:rStyle w:val="bluehighlight"/>
                <w:szCs w:val="24"/>
              </w:rPr>
              <w:t>2</w:t>
            </w:r>
          </w:p>
        </w:tc>
      </w:tr>
      <w:tr w:rsidR="00D47433" w:rsidRPr="00E50079" w:rsidTr="00A12D9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szCs w:val="24"/>
              </w:rPr>
              <w:t>126- 150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rStyle w:val="bluehighlight"/>
                <w:szCs w:val="24"/>
              </w:rPr>
            </w:pPr>
            <w:r w:rsidRPr="00E50079">
              <w:rPr>
                <w:szCs w:val="24"/>
              </w:rPr>
              <w:t xml:space="preserve">6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rStyle w:val="bluehighlight"/>
                <w:szCs w:val="24"/>
              </w:rPr>
            </w:pPr>
            <w:r w:rsidRPr="00E50079">
              <w:rPr>
                <w:rStyle w:val="bluehighlight"/>
                <w:szCs w:val="24"/>
              </w:rPr>
              <w:t>2</w:t>
            </w:r>
          </w:p>
        </w:tc>
      </w:tr>
      <w:tr w:rsidR="00D47433" w:rsidRPr="00E50079" w:rsidTr="00A12D9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szCs w:val="24"/>
              </w:rPr>
              <w:t>151-175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szCs w:val="24"/>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rStyle w:val="bluehighlight"/>
                <w:szCs w:val="24"/>
              </w:rPr>
            </w:pPr>
            <w:r w:rsidRPr="00E50079">
              <w:rPr>
                <w:rStyle w:val="bluehighlight"/>
                <w:szCs w:val="24"/>
              </w:rPr>
              <w:t>2</w:t>
            </w:r>
          </w:p>
        </w:tc>
      </w:tr>
      <w:tr w:rsidR="00D47433" w:rsidRPr="00E50079" w:rsidTr="00A12D9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szCs w:val="24"/>
              </w:rPr>
              <w:t>176 – 200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szCs w:val="24"/>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rStyle w:val="bluehighlight"/>
                <w:szCs w:val="24"/>
              </w:rPr>
            </w:pPr>
            <w:r w:rsidRPr="00E50079">
              <w:rPr>
                <w:rStyle w:val="bluehighlight"/>
                <w:szCs w:val="24"/>
              </w:rPr>
              <w:t>2</w:t>
            </w:r>
          </w:p>
        </w:tc>
      </w:tr>
      <w:tr w:rsidR="00D47433" w:rsidRPr="00E50079" w:rsidTr="00A12D9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rStyle w:val="bluehighlight"/>
                <w:szCs w:val="24"/>
              </w:rPr>
              <w:t>201</w:t>
            </w:r>
            <w:r w:rsidRPr="00E50079">
              <w:rPr>
                <w:szCs w:val="24"/>
              </w:rPr>
              <w:t xml:space="preserve"> to 500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rStyle w:val="bluehighlight"/>
                <w:szCs w:val="24"/>
              </w:rPr>
              <w:t>2</w:t>
            </w:r>
            <w:r w:rsidRPr="00E50079">
              <w:rPr>
                <w:szCs w:val="24"/>
              </w:rPr>
              <w:t xml:space="preserve">, plus </w:t>
            </w:r>
            <w:r w:rsidRPr="00E50079">
              <w:rPr>
                <w:rStyle w:val="bluehighlight"/>
                <w:szCs w:val="24"/>
              </w:rPr>
              <w:t>1</w:t>
            </w:r>
            <w:r w:rsidRPr="00E50079">
              <w:rPr>
                <w:szCs w:val="24"/>
              </w:rPr>
              <w:t xml:space="preserve"> per 25 seats over 50 seats ¹</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rStyle w:val="bluehighlight"/>
                <w:szCs w:val="24"/>
              </w:rPr>
              <w:t>1</w:t>
            </w:r>
            <w:r w:rsidRPr="00E50079">
              <w:rPr>
                <w:szCs w:val="24"/>
              </w:rPr>
              <w:t xml:space="preserve"> per </w:t>
            </w:r>
            <w:r w:rsidRPr="00E50079">
              <w:rPr>
                <w:rStyle w:val="bluehighlight"/>
                <w:szCs w:val="24"/>
              </w:rPr>
              <w:t>4</w:t>
            </w:r>
            <w:r w:rsidRPr="00E50079">
              <w:rPr>
                <w:szCs w:val="24"/>
              </w:rPr>
              <w:t xml:space="preserve"> receivers ¹</w:t>
            </w:r>
          </w:p>
        </w:tc>
      </w:tr>
      <w:tr w:rsidR="00D47433" w:rsidRPr="00E50079" w:rsidTr="00A12D9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rStyle w:val="bluehighlight"/>
                <w:szCs w:val="24"/>
              </w:rPr>
              <w:t>501</w:t>
            </w:r>
            <w:r w:rsidRPr="00E50079">
              <w:rPr>
                <w:szCs w:val="24"/>
              </w:rPr>
              <w:t xml:space="preserve"> to 1000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szCs w:val="24"/>
              </w:rPr>
              <w:t xml:space="preserve">20, plus </w:t>
            </w:r>
            <w:r w:rsidRPr="00E50079">
              <w:rPr>
                <w:rStyle w:val="bluehighlight"/>
                <w:szCs w:val="24"/>
              </w:rPr>
              <w:t>1</w:t>
            </w:r>
            <w:r w:rsidRPr="00E50079">
              <w:rPr>
                <w:szCs w:val="24"/>
              </w:rPr>
              <w:t xml:space="preserve"> per 33 seats over 500 seats ¹</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rStyle w:val="bluehighlight"/>
                <w:szCs w:val="24"/>
              </w:rPr>
              <w:t>1</w:t>
            </w:r>
            <w:r w:rsidRPr="00E50079">
              <w:rPr>
                <w:szCs w:val="24"/>
              </w:rPr>
              <w:t xml:space="preserve"> per </w:t>
            </w:r>
            <w:r w:rsidRPr="00E50079">
              <w:rPr>
                <w:rStyle w:val="bluehighlight"/>
                <w:szCs w:val="24"/>
              </w:rPr>
              <w:t>4</w:t>
            </w:r>
            <w:r w:rsidRPr="00E50079">
              <w:rPr>
                <w:szCs w:val="24"/>
              </w:rPr>
              <w:t xml:space="preserve"> receivers ¹</w:t>
            </w:r>
          </w:p>
        </w:tc>
      </w:tr>
      <w:tr w:rsidR="00D47433" w:rsidRPr="00E50079" w:rsidTr="00A12D9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rStyle w:val="bluehighlight"/>
                <w:szCs w:val="24"/>
              </w:rPr>
              <w:t>1001</w:t>
            </w:r>
            <w:r w:rsidRPr="00E50079">
              <w:rPr>
                <w:szCs w:val="24"/>
              </w:rPr>
              <w:t xml:space="preserve"> to 2000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szCs w:val="24"/>
              </w:rPr>
              <w:t xml:space="preserve">35, plus </w:t>
            </w:r>
            <w:r w:rsidRPr="00E50079">
              <w:rPr>
                <w:rStyle w:val="bluehighlight"/>
                <w:szCs w:val="24"/>
              </w:rPr>
              <w:t>1</w:t>
            </w:r>
            <w:r w:rsidRPr="00E50079">
              <w:rPr>
                <w:szCs w:val="24"/>
              </w:rPr>
              <w:t xml:space="preserve"> per 50 seats over 1000 seats ¹</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rStyle w:val="bluehighlight"/>
                <w:szCs w:val="24"/>
              </w:rPr>
              <w:t>1</w:t>
            </w:r>
            <w:r w:rsidRPr="00E50079">
              <w:rPr>
                <w:szCs w:val="24"/>
              </w:rPr>
              <w:t xml:space="preserve"> per </w:t>
            </w:r>
            <w:r w:rsidRPr="00E50079">
              <w:rPr>
                <w:rStyle w:val="bluehighlight"/>
                <w:szCs w:val="24"/>
              </w:rPr>
              <w:t>4</w:t>
            </w:r>
            <w:r w:rsidRPr="00E50079">
              <w:rPr>
                <w:szCs w:val="24"/>
              </w:rPr>
              <w:t xml:space="preserve"> receivers ¹</w:t>
            </w:r>
          </w:p>
        </w:tc>
      </w:tr>
      <w:tr w:rsidR="00D47433" w:rsidRPr="00E50079" w:rsidTr="00A12D9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szCs w:val="24"/>
              </w:rPr>
              <w:t>2001 and over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szCs w:val="24"/>
              </w:rPr>
              <w:t xml:space="preserve">55 plus </w:t>
            </w:r>
            <w:r w:rsidRPr="00E50079">
              <w:rPr>
                <w:rStyle w:val="bluehighlight"/>
                <w:szCs w:val="24"/>
              </w:rPr>
              <w:t>1</w:t>
            </w:r>
            <w:r w:rsidRPr="00E50079">
              <w:rPr>
                <w:szCs w:val="24"/>
              </w:rPr>
              <w:t xml:space="preserve"> per 100 seats over 2000 seats ¹</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r w:rsidRPr="00E50079">
              <w:rPr>
                <w:rStyle w:val="bluehighlight"/>
                <w:szCs w:val="24"/>
              </w:rPr>
              <w:t>1</w:t>
            </w:r>
            <w:r w:rsidRPr="00E50079">
              <w:rPr>
                <w:szCs w:val="24"/>
              </w:rPr>
              <w:t xml:space="preserve"> per </w:t>
            </w:r>
            <w:r w:rsidRPr="00E50079">
              <w:rPr>
                <w:rStyle w:val="bluehighlight"/>
                <w:szCs w:val="24"/>
              </w:rPr>
              <w:t>4</w:t>
            </w:r>
            <w:r w:rsidRPr="00E50079">
              <w:rPr>
                <w:szCs w:val="24"/>
              </w:rPr>
              <w:t xml:space="preserve"> receivers ¹</w:t>
            </w:r>
          </w:p>
        </w:tc>
      </w:tr>
      <w:tr w:rsidR="00D47433" w:rsidRPr="00E50079" w:rsidTr="00A12D9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szCs w:val="2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47433" w:rsidRPr="00E50079" w:rsidRDefault="00D47433" w:rsidP="00A12D9D">
            <w:pPr>
              <w:rPr>
                <w:rStyle w:val="bluehighlight"/>
                <w:szCs w:val="24"/>
              </w:rPr>
            </w:pPr>
          </w:p>
        </w:tc>
      </w:tr>
    </w:tbl>
    <w:p w:rsidR="00BD6A1C" w:rsidRDefault="00BD6A1C" w:rsidP="00BD6A1C">
      <w:pPr>
        <w:rPr>
          <w:b/>
          <w:szCs w:val="24"/>
        </w:rPr>
      </w:pPr>
    </w:p>
    <w:p w:rsidR="00BD6A1C" w:rsidRDefault="00BD6A1C" w:rsidP="00BD6A1C">
      <w:pPr>
        <w:rPr>
          <w:b/>
          <w:szCs w:val="24"/>
        </w:rPr>
      </w:pPr>
    </w:p>
    <w:p w:rsidR="00BD6A1C" w:rsidRPr="00544D37" w:rsidRDefault="00544D37" w:rsidP="00D32FCF">
      <w:pPr>
        <w:pStyle w:val="Heading2"/>
      </w:pPr>
      <w:bookmarkStart w:id="3" w:name="_Sign_Language_Interpreters."/>
      <w:bookmarkEnd w:id="3"/>
      <w:r w:rsidRPr="00844DE6">
        <w:rPr>
          <w:rFonts w:eastAsiaTheme="minorHAnsi"/>
          <w:sz w:val="28"/>
          <w:szCs w:val="28"/>
        </w:rPr>
        <w:t>Sign Language I</w:t>
      </w:r>
      <w:r w:rsidR="00BD6A1C" w:rsidRPr="00844DE6">
        <w:rPr>
          <w:rFonts w:eastAsiaTheme="minorHAnsi"/>
          <w:sz w:val="28"/>
          <w:szCs w:val="28"/>
        </w:rPr>
        <w:t>nterpreters</w:t>
      </w:r>
      <w:r w:rsidR="00BD6A1C" w:rsidRPr="00544D37">
        <w:t>.</w:t>
      </w:r>
      <w:bookmarkStart w:id="4" w:name="_GoBack"/>
      <w:bookmarkEnd w:id="4"/>
    </w:p>
    <w:p w:rsidR="00BD6A1C" w:rsidRPr="00627153" w:rsidRDefault="00BD6A1C" w:rsidP="00BD6A1C">
      <w:pPr>
        <w:autoSpaceDE w:val="0"/>
        <w:autoSpaceDN w:val="0"/>
        <w:adjustRightInd w:val="0"/>
      </w:pPr>
      <w:r>
        <w:rPr>
          <w:szCs w:val="24"/>
        </w:rPr>
        <w:lastRenderedPageBreak/>
        <w:t xml:space="preserve">See   </w:t>
      </w:r>
      <w:r w:rsidRPr="00AE0D8C">
        <w:rPr>
          <w:i/>
          <w:szCs w:val="24"/>
        </w:rPr>
        <w:t xml:space="preserve">Guidelines for Trials Involving Deaf Jurors who serve with the Assistance of Sign </w:t>
      </w:r>
      <w:r w:rsidRPr="00627153">
        <w:rPr>
          <w:i/>
        </w:rPr>
        <w:t>Language Interpreters</w:t>
      </w:r>
      <w:r w:rsidRPr="00627153">
        <w:t xml:space="preserve">. </w:t>
      </w:r>
      <w:hyperlink r:id="rId7" w:history="1">
        <w:r w:rsidR="00627153" w:rsidRPr="00627153">
          <w:rPr>
            <w:rStyle w:val="Hyperlink"/>
          </w:rPr>
          <w:t>https://www.njcourts.gov/public/assets/langSrvcs/lapappendix11.pdf</w:t>
        </w:r>
      </w:hyperlink>
    </w:p>
    <w:p w:rsidR="003F22DD" w:rsidRDefault="003F22DD" w:rsidP="00BD6A1C">
      <w:pPr>
        <w:autoSpaceDE w:val="0"/>
        <w:autoSpaceDN w:val="0"/>
        <w:adjustRightInd w:val="0"/>
      </w:pPr>
    </w:p>
    <w:p w:rsidR="00D47433" w:rsidRPr="00A55EBB" w:rsidRDefault="00684BDD" w:rsidP="00A55EBB">
      <w:pPr>
        <w:pStyle w:val="NormalWeb"/>
        <w:rPr>
          <w:rFonts w:ascii="Arial" w:hAnsi="Arial" w:cs="Arial"/>
          <w:b/>
        </w:rPr>
      </w:pPr>
      <w:r>
        <w:rPr>
          <w:rFonts w:ascii="Arial" w:hAnsi="Arial" w:cs="Arial"/>
          <w:b/>
        </w:rPr>
        <w:t>______________________________________________________________________</w:t>
      </w:r>
    </w:p>
    <w:p w:rsidR="00806D1C" w:rsidRDefault="00806D1C" w:rsidP="00D32FCF">
      <w:pPr>
        <w:pStyle w:val="Heading1"/>
        <w:rPr>
          <w:rFonts w:ascii="Arial" w:hAnsi="Arial" w:cs="Arial"/>
        </w:rPr>
      </w:pPr>
      <w:bookmarkStart w:id="5" w:name="_Accommodations_for_people_3"/>
      <w:bookmarkEnd w:id="5"/>
      <w:r w:rsidRPr="00D32FCF">
        <w:t>Accommodations for people with disabilities related to speech, writing and other methods of communication</w:t>
      </w:r>
      <w:r w:rsidRPr="00806D1C">
        <w:rPr>
          <w:rFonts w:ascii="Arial" w:hAnsi="Arial" w:cs="Arial"/>
        </w:rPr>
        <w:t>.</w:t>
      </w:r>
    </w:p>
    <w:p w:rsidR="00806D1C" w:rsidRPr="00210F48" w:rsidRDefault="00806D1C" w:rsidP="00806D1C">
      <w:pPr>
        <w:pStyle w:val="NormalWeb"/>
        <w:rPr>
          <w:rFonts w:ascii="Arial" w:hAnsi="Arial" w:cs="Arial"/>
          <w:b/>
          <w:bCs/>
        </w:rPr>
      </w:pPr>
      <w:r w:rsidRPr="00684BDD">
        <w:rPr>
          <w:rFonts w:ascii="Arial" w:hAnsi="Arial" w:cs="Arial"/>
          <w:b/>
          <w:i/>
          <w:caps/>
        </w:rPr>
        <w:t>Illustration.</w:t>
      </w:r>
      <w:r w:rsidRPr="00E50079">
        <w:rPr>
          <w:b/>
          <w:caps/>
        </w:rPr>
        <w:t xml:space="preserve">  </w:t>
      </w:r>
      <w:r w:rsidRPr="00210F48">
        <w:rPr>
          <w:rFonts w:ascii="Arial" w:hAnsi="Arial" w:cs="Arial"/>
        </w:rPr>
        <w:t>Individual has a speech impairment.</w:t>
      </w:r>
      <w:r w:rsidRPr="00210F48">
        <w:rPr>
          <w:rFonts w:ascii="Arial" w:hAnsi="Arial" w:cs="Arial"/>
          <w:b/>
          <w:bCs/>
        </w:rPr>
        <w:t xml:space="preserve"> </w:t>
      </w:r>
    </w:p>
    <w:p w:rsidR="00806D1C" w:rsidRDefault="00806D1C" w:rsidP="00806D1C">
      <w:pPr>
        <w:autoSpaceDE w:val="0"/>
        <w:autoSpaceDN w:val="0"/>
        <w:adjustRightInd w:val="0"/>
        <w:rPr>
          <w:b/>
          <w:bCs/>
          <w:szCs w:val="24"/>
        </w:rPr>
      </w:pPr>
      <w:r>
        <w:rPr>
          <w:b/>
          <w:bCs/>
          <w:szCs w:val="24"/>
        </w:rPr>
        <w:t>Suggested accommodations include:</w:t>
      </w:r>
    </w:p>
    <w:p w:rsidR="00806D1C" w:rsidRPr="009F466F" w:rsidRDefault="00806D1C" w:rsidP="00806D1C">
      <w:pPr>
        <w:autoSpaceDE w:val="0"/>
        <w:autoSpaceDN w:val="0"/>
        <w:adjustRightInd w:val="0"/>
        <w:rPr>
          <w:b/>
          <w:bCs/>
          <w:szCs w:val="24"/>
        </w:rPr>
      </w:pPr>
    </w:p>
    <w:p w:rsidR="00806D1C" w:rsidRPr="009F466F" w:rsidRDefault="00806D1C" w:rsidP="00806D1C">
      <w:pPr>
        <w:pStyle w:val="ListParagraph"/>
        <w:numPr>
          <w:ilvl w:val="0"/>
          <w:numId w:val="6"/>
        </w:numPr>
        <w:autoSpaceDE w:val="0"/>
        <w:autoSpaceDN w:val="0"/>
        <w:adjustRightInd w:val="0"/>
        <w:rPr>
          <w:szCs w:val="24"/>
        </w:rPr>
      </w:pPr>
      <w:r>
        <w:rPr>
          <w:szCs w:val="24"/>
        </w:rPr>
        <w:t>Provide computer station.</w:t>
      </w:r>
    </w:p>
    <w:p w:rsidR="00806D1C" w:rsidRPr="009F466F" w:rsidRDefault="00806D1C" w:rsidP="00806D1C">
      <w:pPr>
        <w:pStyle w:val="ListParagraph"/>
        <w:numPr>
          <w:ilvl w:val="0"/>
          <w:numId w:val="6"/>
        </w:numPr>
        <w:autoSpaceDE w:val="0"/>
        <w:autoSpaceDN w:val="0"/>
        <w:adjustRightInd w:val="0"/>
        <w:rPr>
          <w:szCs w:val="24"/>
        </w:rPr>
      </w:pPr>
      <w:r>
        <w:rPr>
          <w:szCs w:val="24"/>
        </w:rPr>
        <w:t>Provide speech synthesizer</w:t>
      </w:r>
      <w:r w:rsidRPr="009F466F">
        <w:rPr>
          <w:szCs w:val="24"/>
        </w:rPr>
        <w:t>.</w:t>
      </w:r>
    </w:p>
    <w:p w:rsidR="00806D1C" w:rsidRPr="009F466F" w:rsidRDefault="00806D1C" w:rsidP="00806D1C">
      <w:pPr>
        <w:pStyle w:val="ListParagraph"/>
        <w:numPr>
          <w:ilvl w:val="0"/>
          <w:numId w:val="6"/>
        </w:numPr>
        <w:autoSpaceDE w:val="0"/>
        <w:autoSpaceDN w:val="0"/>
        <w:adjustRightInd w:val="0"/>
        <w:rPr>
          <w:b/>
          <w:u w:val="single"/>
        </w:rPr>
      </w:pPr>
      <w:r>
        <w:rPr>
          <w:szCs w:val="24"/>
        </w:rPr>
        <w:t>Provide communications board</w:t>
      </w:r>
      <w:r w:rsidRPr="009F466F">
        <w:rPr>
          <w:szCs w:val="24"/>
        </w:rPr>
        <w:t>.</w:t>
      </w:r>
    </w:p>
    <w:p w:rsidR="00A55EBB" w:rsidRPr="00E50079" w:rsidRDefault="00A55EBB" w:rsidP="00A55EBB">
      <w:pPr>
        <w:pStyle w:val="NormalWeb"/>
        <w:rPr>
          <w:rFonts w:ascii="Arial" w:hAnsi="Arial" w:cs="Arial"/>
        </w:rPr>
      </w:pPr>
      <w:r w:rsidRPr="0030466F">
        <w:rPr>
          <w:rFonts w:ascii="Arial" w:hAnsi="Arial" w:cs="Arial"/>
          <w:b/>
          <w:i/>
          <w:caps/>
        </w:rPr>
        <w:t>Illustration.</w:t>
      </w:r>
      <w:r w:rsidRPr="00E50079">
        <w:rPr>
          <w:rFonts w:ascii="Arial" w:hAnsi="Arial" w:cs="Arial"/>
        </w:rPr>
        <w:t xml:space="preserve"> Indivi</w:t>
      </w:r>
      <w:r w:rsidR="0030466F">
        <w:rPr>
          <w:rFonts w:ascii="Arial" w:hAnsi="Arial" w:cs="Arial"/>
        </w:rPr>
        <w:t xml:space="preserve">dual </w:t>
      </w:r>
      <w:r w:rsidRPr="00E50079">
        <w:rPr>
          <w:rFonts w:ascii="Arial" w:hAnsi="Arial" w:cs="Arial"/>
        </w:rPr>
        <w:t xml:space="preserve">has auditory processing deficits and </w:t>
      </w:r>
      <w:r>
        <w:rPr>
          <w:rFonts w:ascii="Arial" w:hAnsi="Arial" w:cs="Arial"/>
        </w:rPr>
        <w:t>provides appropriate documentation.</w:t>
      </w:r>
    </w:p>
    <w:p w:rsidR="00A55EBB" w:rsidRPr="00844DE6" w:rsidRDefault="00A55EBB" w:rsidP="00A55EBB">
      <w:pPr>
        <w:outlineLvl w:val="1"/>
        <w:rPr>
          <w:rFonts w:eastAsia="Times New Roman"/>
          <w:bCs/>
          <w:szCs w:val="24"/>
        </w:rPr>
      </w:pPr>
      <w:r w:rsidRPr="00844DE6">
        <w:rPr>
          <w:rFonts w:eastAsia="Times New Roman"/>
          <w:bCs/>
          <w:szCs w:val="24"/>
        </w:rPr>
        <w:t>There are several types of Auditory Processing Deficits. Two common types are:</w:t>
      </w:r>
    </w:p>
    <w:p w:rsidR="00A55EBB" w:rsidRPr="00844DE6" w:rsidRDefault="00A55EBB" w:rsidP="00A55EBB">
      <w:pPr>
        <w:outlineLvl w:val="1"/>
        <w:rPr>
          <w:color w:val="222222"/>
          <w:szCs w:val="24"/>
        </w:rPr>
      </w:pPr>
      <w:r w:rsidRPr="00844DE6">
        <w:rPr>
          <w:bCs/>
          <w:color w:val="222222"/>
          <w:szCs w:val="24"/>
        </w:rPr>
        <w:t>Auditory Processing Disorder (APD) and Central Auditory Processing Disorder (CAPD)</w:t>
      </w:r>
      <w:r w:rsidRPr="00844DE6">
        <w:rPr>
          <w:color w:val="222222"/>
          <w:szCs w:val="24"/>
        </w:rPr>
        <w:br/>
      </w:r>
    </w:p>
    <w:p w:rsidR="00A55EBB" w:rsidRPr="00844DE6" w:rsidRDefault="00A55EBB" w:rsidP="00A55EBB">
      <w:pPr>
        <w:outlineLvl w:val="1"/>
        <w:rPr>
          <w:color w:val="222222"/>
          <w:szCs w:val="24"/>
        </w:rPr>
      </w:pPr>
      <w:r w:rsidRPr="00844DE6">
        <w:rPr>
          <w:color w:val="222222"/>
          <w:szCs w:val="24"/>
        </w:rPr>
        <w:t xml:space="preserve">APD involves difficulty accurately processing and interpreting auditory information. Individuals with APD often do not recognize subtle differences between sounds in words. </w:t>
      </w:r>
      <w:r w:rsidRPr="00844DE6">
        <w:rPr>
          <w:color w:val="222222"/>
          <w:szCs w:val="24"/>
        </w:rPr>
        <w:br/>
      </w:r>
      <w:bookmarkStart w:id="6" w:name="capd"/>
      <w:bookmarkEnd w:id="6"/>
    </w:p>
    <w:p w:rsidR="00A55EBB" w:rsidRPr="00844DE6" w:rsidRDefault="00A55EBB" w:rsidP="00A55EBB">
      <w:pPr>
        <w:outlineLvl w:val="1"/>
        <w:rPr>
          <w:rFonts w:eastAsia="Times New Roman"/>
          <w:b/>
          <w:bCs/>
          <w:szCs w:val="24"/>
        </w:rPr>
      </w:pPr>
      <w:r w:rsidRPr="00844DE6">
        <w:rPr>
          <w:color w:val="222222"/>
          <w:szCs w:val="24"/>
        </w:rPr>
        <w:lastRenderedPageBreak/>
        <w:t>CAPD is a disorder that affects the ability to interpret sounds quickly and accurately. Individuals with CAPD may not demonstrate hearing deficits on routine audiological exams but have difficulty recognizing and responding appropriately to different sounds, including speech sounds.</w:t>
      </w:r>
    </w:p>
    <w:p w:rsidR="00A55EBB" w:rsidRPr="00E50079" w:rsidRDefault="00A55EBB" w:rsidP="00A55EBB">
      <w:pPr>
        <w:spacing w:before="100" w:beforeAutospacing="1" w:after="100" w:afterAutospacing="1"/>
        <w:rPr>
          <w:rFonts w:eastAsia="Times New Roman"/>
          <w:szCs w:val="24"/>
        </w:rPr>
      </w:pPr>
      <w:r w:rsidRPr="00E50079">
        <w:rPr>
          <w:rFonts w:eastAsia="Times New Roman"/>
          <w:b/>
          <w:bCs/>
          <w:szCs w:val="24"/>
        </w:rPr>
        <w:t>Suggested accommodations include:</w:t>
      </w:r>
      <w:r w:rsidRPr="00E50079">
        <w:rPr>
          <w:rFonts w:eastAsia="Times New Roman"/>
          <w:szCs w:val="24"/>
        </w:rPr>
        <w:t xml:space="preserve"> </w:t>
      </w:r>
    </w:p>
    <w:p w:rsidR="00A55EBB" w:rsidRPr="0030466F" w:rsidRDefault="00A55EBB" w:rsidP="0030466F">
      <w:pPr>
        <w:pStyle w:val="ListParagraph"/>
        <w:numPr>
          <w:ilvl w:val="0"/>
          <w:numId w:val="10"/>
        </w:numPr>
        <w:rPr>
          <w:rFonts w:eastAsia="Times New Roman"/>
          <w:szCs w:val="24"/>
        </w:rPr>
      </w:pPr>
      <w:r w:rsidRPr="0030466F">
        <w:rPr>
          <w:rFonts w:eastAsia="Times New Roman"/>
          <w:szCs w:val="24"/>
        </w:rPr>
        <w:t xml:space="preserve">Face individual when talking. </w:t>
      </w:r>
    </w:p>
    <w:p w:rsidR="00A55EBB" w:rsidRPr="0030466F" w:rsidRDefault="00A55EBB" w:rsidP="0030466F">
      <w:pPr>
        <w:pStyle w:val="ListParagraph"/>
        <w:numPr>
          <w:ilvl w:val="0"/>
          <w:numId w:val="10"/>
        </w:numPr>
        <w:rPr>
          <w:rFonts w:eastAsia="Times New Roman"/>
          <w:szCs w:val="24"/>
        </w:rPr>
      </w:pPr>
      <w:r w:rsidRPr="0030466F">
        <w:rPr>
          <w:rFonts w:eastAsia="Times New Roman"/>
          <w:szCs w:val="24"/>
        </w:rPr>
        <w:t xml:space="preserve">Reduce distractions in the room (visual and auditory). </w:t>
      </w:r>
    </w:p>
    <w:p w:rsidR="00A55EBB" w:rsidRPr="0030466F" w:rsidRDefault="00A55EBB" w:rsidP="0030466F">
      <w:pPr>
        <w:pStyle w:val="NormalWeb"/>
        <w:numPr>
          <w:ilvl w:val="0"/>
          <w:numId w:val="10"/>
        </w:numPr>
        <w:shd w:val="clear" w:color="auto" w:fill="FFFFFF"/>
        <w:spacing w:before="0" w:beforeAutospacing="0" w:after="0" w:afterAutospacing="0" w:line="225" w:lineRule="atLeast"/>
        <w:rPr>
          <w:rFonts w:ascii="Arial" w:hAnsi="Arial" w:cs="Arial"/>
        </w:rPr>
      </w:pPr>
      <w:r w:rsidRPr="0030466F">
        <w:rPr>
          <w:rFonts w:ascii="Arial" w:hAnsi="Arial" w:cs="Arial"/>
        </w:rPr>
        <w:t>Simplify verbal directions, slow the rate of speech. "Show and tell" all information and directions- Explain thoroughly.</w:t>
      </w:r>
    </w:p>
    <w:p w:rsidR="00A55EBB" w:rsidRPr="0030466F" w:rsidRDefault="00A55EBB" w:rsidP="0030466F">
      <w:pPr>
        <w:pStyle w:val="ListParagraph"/>
        <w:numPr>
          <w:ilvl w:val="0"/>
          <w:numId w:val="10"/>
        </w:numPr>
      </w:pPr>
      <w:r w:rsidRPr="0030466F">
        <w:rPr>
          <w:rFonts w:eastAsia="Times New Roman"/>
          <w:szCs w:val="24"/>
        </w:rPr>
        <w:t>Encourage individual to repeat back to you everything that you say to verify understanding.</w:t>
      </w:r>
    </w:p>
    <w:p w:rsidR="00A55EBB" w:rsidRPr="0030466F" w:rsidRDefault="00A55EBB" w:rsidP="0030466F">
      <w:pPr>
        <w:pStyle w:val="ListParagraph"/>
        <w:numPr>
          <w:ilvl w:val="0"/>
          <w:numId w:val="10"/>
        </w:numPr>
      </w:pPr>
      <w:r w:rsidRPr="0030466F">
        <w:rPr>
          <w:szCs w:val="24"/>
        </w:rPr>
        <w:t>Back up verbal directions with visual and written cues.</w:t>
      </w:r>
    </w:p>
    <w:p w:rsidR="00A55EBB" w:rsidRPr="00806D1C" w:rsidRDefault="00A55EBB" w:rsidP="0030466F">
      <w:pPr>
        <w:pStyle w:val="ListParagraph"/>
        <w:numPr>
          <w:ilvl w:val="0"/>
          <w:numId w:val="10"/>
        </w:numPr>
      </w:pPr>
      <w:r w:rsidRPr="0030466F">
        <w:rPr>
          <w:szCs w:val="24"/>
        </w:rPr>
        <w:t>Allow an advocate to assist with communication.</w:t>
      </w:r>
    </w:p>
    <w:p w:rsidR="00806D1C" w:rsidRDefault="00806D1C" w:rsidP="00544D37">
      <w:pPr>
        <w:pStyle w:val="Heading1"/>
      </w:pPr>
      <w:bookmarkStart w:id="7" w:name="_Accommodations_for_people_4"/>
      <w:bookmarkEnd w:id="7"/>
      <w:r w:rsidRPr="00A55EBB">
        <w:t>Accommodations for people with cognitive disabilities.</w:t>
      </w:r>
    </w:p>
    <w:p w:rsidR="00A55EBB" w:rsidRPr="00E50079" w:rsidRDefault="00A55EBB" w:rsidP="00A55EBB">
      <w:pPr>
        <w:pStyle w:val="NormalWeb"/>
        <w:rPr>
          <w:rFonts w:ascii="Arial" w:hAnsi="Arial" w:cs="Arial"/>
        </w:rPr>
      </w:pPr>
      <w:r w:rsidRPr="0030466F">
        <w:rPr>
          <w:rFonts w:ascii="Arial" w:hAnsi="Arial" w:cs="Arial"/>
          <w:b/>
          <w:i/>
          <w:caps/>
        </w:rPr>
        <w:t>Illustration</w:t>
      </w:r>
      <w:r w:rsidRPr="00E50079">
        <w:rPr>
          <w:rFonts w:ascii="Arial" w:hAnsi="Arial" w:cs="Arial"/>
          <w:caps/>
        </w:rPr>
        <w:t>.</w:t>
      </w:r>
      <w:r w:rsidR="0030466F">
        <w:rPr>
          <w:rFonts w:ascii="Arial" w:hAnsi="Arial" w:cs="Arial"/>
        </w:rPr>
        <w:t xml:space="preserve">  Individual </w:t>
      </w:r>
      <w:r w:rsidRPr="00E50079">
        <w:rPr>
          <w:rFonts w:ascii="Arial" w:hAnsi="Arial" w:cs="Arial"/>
        </w:rPr>
        <w:t>provides documentation proving the existence of a mental illness limiting his or her ability to understand the proceedings and respond appropriately.</w:t>
      </w:r>
    </w:p>
    <w:p w:rsidR="00A55EBB" w:rsidRPr="006D4C78" w:rsidRDefault="00A55EBB" w:rsidP="00A55EBB">
      <w:pPr>
        <w:pStyle w:val="NormalWeb"/>
        <w:rPr>
          <w:rFonts w:ascii="Arial" w:hAnsi="Arial" w:cs="Arial"/>
        </w:rPr>
      </w:pPr>
      <w:r w:rsidRPr="006D4C78">
        <w:rPr>
          <w:rFonts w:ascii="Arial" w:hAnsi="Arial" w:cs="Arial"/>
          <w:b/>
        </w:rPr>
        <w:t>Suggested accommodation.</w:t>
      </w:r>
      <w:r w:rsidRPr="006D4C78">
        <w:rPr>
          <w:rFonts w:ascii="Arial" w:hAnsi="Arial" w:cs="Arial"/>
        </w:rPr>
        <w:t xml:space="preserve"> Appointment of Counsel</w:t>
      </w:r>
    </w:p>
    <w:p w:rsidR="00A55EBB" w:rsidRPr="006D4C78" w:rsidRDefault="00A55EBB" w:rsidP="00A55EBB">
      <w:pPr>
        <w:pStyle w:val="Pa14"/>
        <w:spacing w:after="120"/>
        <w:rPr>
          <w:rFonts w:ascii="Arial" w:hAnsi="Arial"/>
          <w:color w:val="211D1E"/>
          <w:sz w:val="22"/>
          <w:szCs w:val="22"/>
        </w:rPr>
      </w:pPr>
      <w:r w:rsidRPr="006D4C78">
        <w:rPr>
          <w:rStyle w:val="A5"/>
          <w:rFonts w:ascii="Arial" w:hAnsi="Arial" w:cs="Arial"/>
          <w:b/>
          <w:bCs/>
        </w:rPr>
        <w:t>The Factors in Assessing Need for Representation (Excerpt from the Administrative Hearings Disability Guide)</w:t>
      </w:r>
    </w:p>
    <w:p w:rsidR="00A55EBB" w:rsidRPr="006D4C78" w:rsidRDefault="00A55EBB" w:rsidP="00A55EBB">
      <w:pPr>
        <w:pStyle w:val="Pa14"/>
        <w:spacing w:after="120"/>
        <w:rPr>
          <w:rFonts w:ascii="Arial" w:hAnsi="Arial"/>
          <w:color w:val="211D1E"/>
          <w:sz w:val="22"/>
          <w:szCs w:val="22"/>
        </w:rPr>
      </w:pPr>
      <w:r w:rsidRPr="006D4C78">
        <w:rPr>
          <w:rStyle w:val="A5"/>
          <w:rFonts w:ascii="Arial" w:hAnsi="Arial" w:cs="Arial"/>
        </w:rPr>
        <w:t xml:space="preserve">Where representation as an accommodation for disability is considered, the Presiding Officer or his or her designee must first establish that the party has a disability. It must also be determined that due to the disability, accommodation is necessary for the party to effectively participate in the </w:t>
      </w:r>
      <w:r w:rsidRPr="006D4C78">
        <w:rPr>
          <w:rStyle w:val="A5"/>
          <w:rFonts w:ascii="Arial" w:hAnsi="Arial" w:cs="Arial"/>
        </w:rPr>
        <w:lastRenderedPageBreak/>
        <w:t>process. Assuming the documentation provided supports the existence of a disability the question remaining is the need for representation.</w:t>
      </w:r>
    </w:p>
    <w:p w:rsidR="00A55EBB" w:rsidRPr="006D4C78" w:rsidRDefault="00A55EBB" w:rsidP="00A55EBB">
      <w:pPr>
        <w:pStyle w:val="Pa14"/>
        <w:spacing w:after="120"/>
        <w:rPr>
          <w:rFonts w:ascii="Arial" w:hAnsi="Arial"/>
          <w:color w:val="211D1E"/>
          <w:sz w:val="22"/>
          <w:szCs w:val="22"/>
        </w:rPr>
      </w:pPr>
      <w:r w:rsidRPr="006D4C78">
        <w:rPr>
          <w:rStyle w:val="A5"/>
          <w:rFonts w:ascii="Arial" w:hAnsi="Arial" w:cs="Arial"/>
        </w:rPr>
        <w:t>Factors that may be considered in determining whether or not to provide representation include:</w:t>
      </w:r>
    </w:p>
    <w:p w:rsidR="00A55EBB" w:rsidRPr="006D4C78" w:rsidRDefault="00A55EBB" w:rsidP="00A55EBB">
      <w:pPr>
        <w:pStyle w:val="Pa31"/>
        <w:spacing w:after="120"/>
        <w:ind w:left="720"/>
        <w:rPr>
          <w:rFonts w:ascii="Arial" w:hAnsi="Arial"/>
          <w:i/>
          <w:sz w:val="22"/>
          <w:szCs w:val="22"/>
        </w:rPr>
      </w:pPr>
      <w:r w:rsidRPr="006D4C78">
        <w:rPr>
          <w:rFonts w:ascii="Arial" w:hAnsi="Arial"/>
          <w:i/>
          <w:sz w:val="22"/>
          <w:szCs w:val="22"/>
        </w:rPr>
        <w:t>Could the individual’s mental condition</w:t>
      </w:r>
      <w:r w:rsidRPr="006D4C78">
        <w:rPr>
          <w:rStyle w:val="Strong"/>
          <w:rFonts w:ascii="Arial" w:hAnsi="Arial"/>
          <w:i/>
          <w:sz w:val="22"/>
          <w:szCs w:val="22"/>
        </w:rPr>
        <w:t xml:space="preserve"> </w:t>
      </w:r>
      <w:r w:rsidRPr="006D4C78">
        <w:rPr>
          <w:rFonts w:ascii="Arial" w:hAnsi="Arial"/>
          <w:i/>
          <w:sz w:val="22"/>
          <w:szCs w:val="22"/>
        </w:rPr>
        <w:t>reasonably be said to interfere with the defendant's present ability to go forward with</w:t>
      </w:r>
      <w:r w:rsidRPr="006D4C78">
        <w:rPr>
          <w:rStyle w:val="Emphasis"/>
          <w:rFonts w:ascii="Arial" w:hAnsi="Arial"/>
          <w:i w:val="0"/>
          <w:sz w:val="22"/>
          <w:szCs w:val="22"/>
        </w:rPr>
        <w:t xml:space="preserve"> pro se</w:t>
      </w:r>
      <w:r w:rsidRPr="006D4C78">
        <w:rPr>
          <w:rFonts w:ascii="Arial" w:hAnsi="Arial"/>
          <w:i/>
          <w:sz w:val="22"/>
          <w:szCs w:val="22"/>
        </w:rPr>
        <w:t xml:space="preserve"> representation?</w:t>
      </w:r>
    </w:p>
    <w:p w:rsidR="00A55EBB" w:rsidRPr="006D4C78" w:rsidRDefault="00A55EBB" w:rsidP="00A55EBB">
      <w:pPr>
        <w:pStyle w:val="Pa31"/>
        <w:spacing w:after="120"/>
        <w:ind w:left="720"/>
        <w:rPr>
          <w:rFonts w:ascii="Arial" w:hAnsi="Arial"/>
          <w:color w:val="211D1E"/>
          <w:sz w:val="22"/>
          <w:szCs w:val="22"/>
        </w:rPr>
      </w:pPr>
      <w:r w:rsidRPr="006D4C78">
        <w:rPr>
          <w:rStyle w:val="A5"/>
          <w:rFonts w:ascii="Arial" w:hAnsi="Arial" w:cs="Arial"/>
        </w:rPr>
        <w:t>Is the case so complex that the party will not be able to participate effectively unless provided with a suitable representative?</w:t>
      </w:r>
    </w:p>
    <w:p w:rsidR="00A55EBB" w:rsidRPr="006D4C78" w:rsidRDefault="00A55EBB" w:rsidP="00A55EBB">
      <w:pPr>
        <w:pStyle w:val="Pa31"/>
        <w:spacing w:after="120"/>
        <w:ind w:left="720"/>
        <w:rPr>
          <w:rFonts w:ascii="Arial" w:hAnsi="Arial"/>
          <w:color w:val="211D1E"/>
          <w:sz w:val="22"/>
          <w:szCs w:val="22"/>
        </w:rPr>
      </w:pPr>
      <w:r w:rsidRPr="006D4C78">
        <w:rPr>
          <w:rStyle w:val="A5"/>
          <w:rFonts w:ascii="Arial" w:hAnsi="Arial" w:cs="Arial"/>
        </w:rPr>
        <w:t>Are there other accommodations that can address the specific limitations on the party’s ability to effectively participate in the hearing?</w:t>
      </w:r>
    </w:p>
    <w:p w:rsidR="00A55EBB" w:rsidRPr="006D4C78" w:rsidRDefault="00A55EBB" w:rsidP="00A55EBB">
      <w:pPr>
        <w:pStyle w:val="Pa31"/>
        <w:spacing w:after="120"/>
        <w:ind w:left="720"/>
        <w:rPr>
          <w:rFonts w:ascii="Arial" w:hAnsi="Arial"/>
          <w:color w:val="211D1E"/>
          <w:sz w:val="22"/>
          <w:szCs w:val="22"/>
        </w:rPr>
      </w:pPr>
      <w:r w:rsidRPr="006D4C78">
        <w:rPr>
          <w:rStyle w:val="A5"/>
          <w:rFonts w:ascii="Arial" w:hAnsi="Arial" w:cs="Arial"/>
        </w:rPr>
        <w:t>Is appointment of a suitable representative more efficient, and at least as effective, as alternative accommodations?</w:t>
      </w:r>
    </w:p>
    <w:p w:rsidR="00A55EBB" w:rsidRPr="006D4C78" w:rsidRDefault="00A55EBB" w:rsidP="00A55EBB">
      <w:pPr>
        <w:pStyle w:val="Pa14"/>
        <w:spacing w:after="120"/>
        <w:rPr>
          <w:rFonts w:ascii="Arial" w:hAnsi="Arial"/>
          <w:color w:val="211D1E"/>
          <w:sz w:val="22"/>
          <w:szCs w:val="22"/>
        </w:rPr>
      </w:pPr>
      <w:r w:rsidRPr="006D4C78">
        <w:rPr>
          <w:rStyle w:val="A5"/>
          <w:rFonts w:ascii="Arial" w:hAnsi="Arial" w:cs="Arial"/>
          <w:b/>
          <w:bCs/>
        </w:rPr>
        <w:t xml:space="preserve">Subjects of Inquiry Regarding a Party’s Ability to Make His or Her Case </w:t>
      </w:r>
    </w:p>
    <w:p w:rsidR="00A55EBB" w:rsidRPr="00E50079" w:rsidRDefault="00A55EBB" w:rsidP="00A55EBB">
      <w:pPr>
        <w:pStyle w:val="Default"/>
        <w:spacing w:after="120" w:line="241" w:lineRule="atLeast"/>
        <w:ind w:left="720"/>
        <w:rPr>
          <w:rFonts w:ascii="Arial" w:hAnsi="Arial" w:cs="Arial"/>
          <w:color w:val="211D1E"/>
          <w:sz w:val="22"/>
          <w:szCs w:val="22"/>
        </w:rPr>
      </w:pPr>
      <w:r w:rsidRPr="006D4C78">
        <w:rPr>
          <w:rStyle w:val="A5"/>
          <w:rFonts w:ascii="Arial" w:hAnsi="Arial" w:cs="Arial"/>
        </w:rPr>
        <w:t>Can the party identify what is at stake? Does she or he know what will be decided, and the consequences of winning or losing?</w:t>
      </w:r>
    </w:p>
    <w:p w:rsidR="00A55EBB" w:rsidRDefault="00684BDD" w:rsidP="00A55EBB">
      <w:pPr>
        <w:pStyle w:val="NormalWeb"/>
        <w:rPr>
          <w:rFonts w:ascii="Arial" w:hAnsi="Arial" w:cs="Arial"/>
        </w:rPr>
      </w:pPr>
      <w:r>
        <w:rPr>
          <w:rFonts w:ascii="Arial" w:hAnsi="Arial" w:cs="Arial"/>
          <w:b/>
        </w:rPr>
        <w:t>______________________________________________________________________</w:t>
      </w:r>
    </w:p>
    <w:p w:rsidR="00A55EBB" w:rsidRDefault="00A55EBB" w:rsidP="00544D37">
      <w:pPr>
        <w:pStyle w:val="Heading1"/>
      </w:pPr>
      <w:bookmarkStart w:id="8" w:name="_Accommodations_for_people_2"/>
      <w:bookmarkEnd w:id="8"/>
      <w:r w:rsidRPr="00A55EBB">
        <w:t>Accommodations for people with dexterity limitations.</w:t>
      </w:r>
    </w:p>
    <w:p w:rsidR="00544D37" w:rsidRPr="00544D37" w:rsidRDefault="00544D37" w:rsidP="00544D37"/>
    <w:p w:rsidR="00A55EBB" w:rsidRPr="00E50079" w:rsidRDefault="00A55EBB" w:rsidP="00A55EBB">
      <w:r w:rsidRPr="0030466F">
        <w:rPr>
          <w:b/>
          <w:i/>
          <w:caps/>
        </w:rPr>
        <w:t>Illustration.</w:t>
      </w:r>
      <w:r w:rsidR="0030466F">
        <w:t xml:space="preserve">  Individual</w:t>
      </w:r>
      <w:r w:rsidRPr="00E50079">
        <w:t xml:space="preserve"> is unable to walk</w:t>
      </w:r>
      <w:r>
        <w:t xml:space="preserve"> more than a few</w:t>
      </w:r>
      <w:r w:rsidRPr="00E50079">
        <w:t xml:space="preserve"> feet.</w:t>
      </w:r>
    </w:p>
    <w:p w:rsidR="00A55EBB" w:rsidRPr="00B2537B" w:rsidRDefault="00A55EBB" w:rsidP="00A55EBB">
      <w:pPr>
        <w:pStyle w:val="Heading3"/>
        <w:shd w:val="clear" w:color="auto" w:fill="FFFFFF"/>
        <w:rPr>
          <w:rFonts w:ascii="Arial" w:hAnsi="Arial" w:cs="Arial"/>
          <w:b w:val="0"/>
          <w:color w:val="000000"/>
        </w:rPr>
      </w:pPr>
      <w:r>
        <w:rPr>
          <w:rFonts w:ascii="Arial" w:hAnsi="Arial" w:cs="Arial"/>
          <w:color w:val="000000"/>
        </w:rPr>
        <w:lastRenderedPageBreak/>
        <w:t xml:space="preserve">Suggested Accommodation. </w:t>
      </w:r>
      <w:r w:rsidRPr="00B2537B">
        <w:rPr>
          <w:rFonts w:ascii="Arial" w:hAnsi="Arial" w:cs="Arial"/>
          <w:b w:val="0"/>
          <w:color w:val="000000"/>
        </w:rPr>
        <w:t xml:space="preserve">Ensure that wheelchair spaces </w:t>
      </w:r>
      <w:r>
        <w:rPr>
          <w:rFonts w:ascii="Arial" w:hAnsi="Arial" w:cs="Arial"/>
          <w:b w:val="0"/>
          <w:color w:val="000000"/>
        </w:rPr>
        <w:t>are available in assembly areas.</w:t>
      </w:r>
    </w:p>
    <w:p w:rsidR="00A55EBB" w:rsidRPr="00E50079" w:rsidRDefault="00A55EBB" w:rsidP="00A55EBB">
      <w:pPr>
        <w:spacing w:before="100" w:beforeAutospacing="1" w:after="100" w:afterAutospacing="1"/>
        <w:rPr>
          <w:rFonts w:eastAsia="Times New Roman"/>
          <w:szCs w:val="24"/>
        </w:rPr>
      </w:pPr>
      <w:r>
        <w:rPr>
          <w:rFonts w:eastAsia="Times New Roman"/>
          <w:szCs w:val="24"/>
        </w:rPr>
        <w:t>ADA accessibility guidelines</w:t>
      </w:r>
      <w:r w:rsidR="0030466F">
        <w:rPr>
          <w:rFonts w:eastAsia="Times New Roman"/>
          <w:szCs w:val="24"/>
        </w:rPr>
        <w:t xml:space="preserve"> state that wheel chair spaces </w:t>
      </w:r>
      <w:r>
        <w:rPr>
          <w:rFonts w:eastAsia="Times New Roman"/>
          <w:szCs w:val="24"/>
        </w:rPr>
        <w:t xml:space="preserve">should be provided in assembly areas with fixed seating. The number of wheelchair spaces required can be determined from the chart below: </w:t>
      </w:r>
    </w:p>
    <w:tbl>
      <w:tblPr>
        <w:tblW w:w="0" w:type="auto"/>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1938"/>
        <w:gridCol w:w="6807"/>
      </w:tblGrid>
      <w:tr w:rsidR="00A55EBB" w:rsidRPr="00E50079" w:rsidTr="00A55EBB">
        <w:trPr>
          <w:tblHeader/>
        </w:trPr>
        <w:tc>
          <w:tcPr>
            <w:tcW w:w="8745" w:type="dxa"/>
            <w:gridSpan w:val="2"/>
            <w:tcBorders>
              <w:top w:val="nil"/>
              <w:left w:val="nil"/>
              <w:bottom w:val="nil"/>
              <w:right w:val="nil"/>
            </w:tcBorders>
            <w:vAlign w:val="center"/>
            <w:hideMark/>
          </w:tcPr>
          <w:p w:rsidR="00A55EBB" w:rsidRPr="00E50079" w:rsidRDefault="00A55EBB" w:rsidP="00A55EBB">
            <w:pPr>
              <w:jc w:val="center"/>
              <w:rPr>
                <w:rFonts w:eastAsia="Times New Roman"/>
                <w:b/>
                <w:bCs/>
                <w:szCs w:val="24"/>
              </w:rPr>
            </w:pPr>
            <w:r w:rsidRPr="00E50079">
              <w:rPr>
                <w:rFonts w:eastAsia="Times New Roman"/>
                <w:b/>
                <w:bCs/>
                <w:szCs w:val="24"/>
              </w:rPr>
              <w:t xml:space="preserve">Number of Wheelchair Spaces in Assembly Areas </w:t>
            </w:r>
          </w:p>
        </w:tc>
      </w:tr>
      <w:tr w:rsidR="00A55EBB" w:rsidRPr="00E50079" w:rsidTr="00A55EBB">
        <w:trPr>
          <w:tblHeader/>
        </w:trPr>
        <w:tc>
          <w:tcPr>
            <w:tcW w:w="0" w:type="auto"/>
            <w:vAlign w:val="center"/>
            <w:hideMark/>
          </w:tcPr>
          <w:p w:rsidR="00A55EBB" w:rsidRPr="00E50079" w:rsidRDefault="00A55EBB" w:rsidP="00A55EBB">
            <w:pPr>
              <w:jc w:val="center"/>
              <w:rPr>
                <w:rFonts w:eastAsia="Times New Roman"/>
                <w:b/>
                <w:bCs/>
                <w:szCs w:val="24"/>
              </w:rPr>
            </w:pPr>
            <w:r w:rsidRPr="00E50079">
              <w:rPr>
                <w:rFonts w:eastAsia="Times New Roman"/>
                <w:b/>
                <w:bCs/>
                <w:szCs w:val="24"/>
              </w:rPr>
              <w:t xml:space="preserve">Number of Seats </w:t>
            </w:r>
          </w:p>
        </w:tc>
        <w:tc>
          <w:tcPr>
            <w:tcW w:w="6807" w:type="dxa"/>
            <w:vAlign w:val="center"/>
            <w:hideMark/>
          </w:tcPr>
          <w:p w:rsidR="00A55EBB" w:rsidRPr="00E50079" w:rsidRDefault="00A55EBB" w:rsidP="00A55EBB">
            <w:pPr>
              <w:jc w:val="center"/>
              <w:rPr>
                <w:rFonts w:eastAsia="Times New Roman"/>
                <w:b/>
                <w:bCs/>
                <w:szCs w:val="24"/>
              </w:rPr>
            </w:pPr>
            <w:r w:rsidRPr="00E50079">
              <w:rPr>
                <w:rFonts w:eastAsia="Times New Roman"/>
                <w:b/>
                <w:bCs/>
                <w:szCs w:val="24"/>
              </w:rPr>
              <w:t xml:space="preserve">Minimum Number of Required Wheelchair Spaces </w:t>
            </w:r>
          </w:p>
        </w:tc>
      </w:tr>
      <w:tr w:rsidR="00A55EBB" w:rsidRPr="00E50079" w:rsidTr="00A55EBB">
        <w:tc>
          <w:tcPr>
            <w:tcW w:w="0" w:type="auto"/>
            <w:tcBorders>
              <w:top w:val="single" w:sz="8" w:space="0" w:color="C0C0C0"/>
              <w:left w:val="single" w:sz="8" w:space="0" w:color="C0C0C0"/>
              <w:bottom w:val="single" w:sz="8" w:space="0" w:color="C0C0C0"/>
              <w:right w:val="single" w:sz="8" w:space="0" w:color="C0C0C0"/>
            </w:tcBorders>
            <w:vAlign w:val="center"/>
            <w:hideMark/>
          </w:tcPr>
          <w:p w:rsidR="00A55EBB" w:rsidRPr="00E50079" w:rsidRDefault="00A55EBB" w:rsidP="00A55EBB">
            <w:pPr>
              <w:jc w:val="center"/>
              <w:rPr>
                <w:rFonts w:eastAsia="Times New Roman"/>
                <w:szCs w:val="24"/>
              </w:rPr>
            </w:pPr>
            <w:r w:rsidRPr="00E50079">
              <w:rPr>
                <w:rFonts w:eastAsia="Times New Roman"/>
                <w:szCs w:val="24"/>
              </w:rPr>
              <w:t xml:space="preserve">4 to 25 </w:t>
            </w:r>
          </w:p>
        </w:tc>
        <w:tc>
          <w:tcPr>
            <w:tcW w:w="6807" w:type="dxa"/>
            <w:tcBorders>
              <w:top w:val="single" w:sz="8" w:space="0" w:color="C0C0C0"/>
              <w:left w:val="single" w:sz="8" w:space="0" w:color="C0C0C0"/>
              <w:bottom w:val="single" w:sz="8" w:space="0" w:color="C0C0C0"/>
              <w:right w:val="single" w:sz="8" w:space="0" w:color="C0C0C0"/>
            </w:tcBorders>
            <w:vAlign w:val="center"/>
            <w:hideMark/>
          </w:tcPr>
          <w:p w:rsidR="00A55EBB" w:rsidRPr="00E50079" w:rsidRDefault="00A55EBB" w:rsidP="00A55EBB">
            <w:pPr>
              <w:jc w:val="center"/>
              <w:rPr>
                <w:rFonts w:eastAsia="Times New Roman"/>
                <w:szCs w:val="24"/>
              </w:rPr>
            </w:pPr>
            <w:r w:rsidRPr="00E50079">
              <w:rPr>
                <w:rFonts w:eastAsia="Times New Roman"/>
                <w:szCs w:val="24"/>
              </w:rPr>
              <w:t xml:space="preserve">1 </w:t>
            </w:r>
          </w:p>
        </w:tc>
      </w:tr>
      <w:tr w:rsidR="00A55EBB" w:rsidRPr="00E50079" w:rsidTr="00A55EBB">
        <w:tc>
          <w:tcPr>
            <w:tcW w:w="0" w:type="auto"/>
            <w:tcBorders>
              <w:top w:val="single" w:sz="8" w:space="0" w:color="C0C0C0"/>
              <w:left w:val="single" w:sz="8" w:space="0" w:color="C0C0C0"/>
              <w:bottom w:val="single" w:sz="8" w:space="0" w:color="C0C0C0"/>
              <w:right w:val="single" w:sz="8" w:space="0" w:color="C0C0C0"/>
            </w:tcBorders>
            <w:vAlign w:val="center"/>
            <w:hideMark/>
          </w:tcPr>
          <w:p w:rsidR="00A55EBB" w:rsidRPr="00E50079" w:rsidRDefault="00A55EBB" w:rsidP="00A55EBB">
            <w:pPr>
              <w:jc w:val="center"/>
              <w:rPr>
                <w:rFonts w:eastAsia="Times New Roman"/>
                <w:szCs w:val="24"/>
              </w:rPr>
            </w:pPr>
            <w:r w:rsidRPr="00E50079">
              <w:rPr>
                <w:rFonts w:eastAsia="Times New Roman"/>
                <w:szCs w:val="24"/>
              </w:rPr>
              <w:t xml:space="preserve">26 to 50 </w:t>
            </w:r>
          </w:p>
        </w:tc>
        <w:tc>
          <w:tcPr>
            <w:tcW w:w="6807" w:type="dxa"/>
            <w:tcBorders>
              <w:top w:val="single" w:sz="8" w:space="0" w:color="C0C0C0"/>
              <w:left w:val="single" w:sz="8" w:space="0" w:color="C0C0C0"/>
              <w:bottom w:val="single" w:sz="8" w:space="0" w:color="C0C0C0"/>
              <w:right w:val="single" w:sz="8" w:space="0" w:color="C0C0C0"/>
            </w:tcBorders>
            <w:vAlign w:val="center"/>
            <w:hideMark/>
          </w:tcPr>
          <w:p w:rsidR="00A55EBB" w:rsidRPr="00E50079" w:rsidRDefault="00A55EBB" w:rsidP="00A55EBB">
            <w:pPr>
              <w:jc w:val="center"/>
              <w:rPr>
                <w:rFonts w:eastAsia="Times New Roman"/>
                <w:szCs w:val="24"/>
              </w:rPr>
            </w:pPr>
            <w:r w:rsidRPr="00E50079">
              <w:rPr>
                <w:rFonts w:eastAsia="Times New Roman"/>
                <w:szCs w:val="24"/>
              </w:rPr>
              <w:t xml:space="preserve">2 </w:t>
            </w:r>
          </w:p>
        </w:tc>
      </w:tr>
      <w:tr w:rsidR="00A55EBB" w:rsidRPr="00E50079" w:rsidTr="00A55EBB">
        <w:tc>
          <w:tcPr>
            <w:tcW w:w="0" w:type="auto"/>
            <w:tcBorders>
              <w:top w:val="single" w:sz="8" w:space="0" w:color="C0C0C0"/>
              <w:left w:val="single" w:sz="8" w:space="0" w:color="C0C0C0"/>
              <w:bottom w:val="single" w:sz="8" w:space="0" w:color="C0C0C0"/>
              <w:right w:val="single" w:sz="8" w:space="0" w:color="C0C0C0"/>
            </w:tcBorders>
            <w:vAlign w:val="center"/>
            <w:hideMark/>
          </w:tcPr>
          <w:p w:rsidR="00A55EBB" w:rsidRPr="00E50079" w:rsidRDefault="00A55EBB" w:rsidP="00A55EBB">
            <w:pPr>
              <w:jc w:val="center"/>
              <w:rPr>
                <w:rFonts w:eastAsia="Times New Roman"/>
                <w:szCs w:val="24"/>
              </w:rPr>
            </w:pPr>
            <w:r w:rsidRPr="00E50079">
              <w:rPr>
                <w:rFonts w:eastAsia="Times New Roman"/>
                <w:szCs w:val="24"/>
              </w:rPr>
              <w:t xml:space="preserve">51 to 150 </w:t>
            </w:r>
          </w:p>
        </w:tc>
        <w:tc>
          <w:tcPr>
            <w:tcW w:w="6807" w:type="dxa"/>
            <w:tcBorders>
              <w:top w:val="single" w:sz="8" w:space="0" w:color="C0C0C0"/>
              <w:left w:val="single" w:sz="8" w:space="0" w:color="C0C0C0"/>
              <w:bottom w:val="single" w:sz="8" w:space="0" w:color="C0C0C0"/>
              <w:right w:val="single" w:sz="8" w:space="0" w:color="C0C0C0"/>
            </w:tcBorders>
            <w:vAlign w:val="center"/>
            <w:hideMark/>
          </w:tcPr>
          <w:p w:rsidR="00A55EBB" w:rsidRPr="00E50079" w:rsidRDefault="00A55EBB" w:rsidP="00A55EBB">
            <w:pPr>
              <w:jc w:val="center"/>
              <w:rPr>
                <w:rFonts w:eastAsia="Times New Roman"/>
                <w:szCs w:val="24"/>
              </w:rPr>
            </w:pPr>
            <w:r w:rsidRPr="00E50079">
              <w:rPr>
                <w:rFonts w:eastAsia="Times New Roman"/>
                <w:szCs w:val="24"/>
              </w:rPr>
              <w:t xml:space="preserve">4 </w:t>
            </w:r>
          </w:p>
        </w:tc>
      </w:tr>
      <w:tr w:rsidR="00A55EBB" w:rsidRPr="00E50079" w:rsidTr="00A55EBB">
        <w:tc>
          <w:tcPr>
            <w:tcW w:w="0" w:type="auto"/>
            <w:tcBorders>
              <w:top w:val="single" w:sz="8" w:space="0" w:color="C0C0C0"/>
              <w:left w:val="single" w:sz="8" w:space="0" w:color="C0C0C0"/>
              <w:bottom w:val="single" w:sz="8" w:space="0" w:color="C0C0C0"/>
              <w:right w:val="single" w:sz="8" w:space="0" w:color="C0C0C0"/>
            </w:tcBorders>
            <w:vAlign w:val="center"/>
            <w:hideMark/>
          </w:tcPr>
          <w:p w:rsidR="00A55EBB" w:rsidRPr="00E50079" w:rsidRDefault="00A55EBB" w:rsidP="00A55EBB">
            <w:pPr>
              <w:jc w:val="center"/>
              <w:rPr>
                <w:rFonts w:eastAsia="Times New Roman"/>
                <w:szCs w:val="24"/>
              </w:rPr>
            </w:pPr>
            <w:r w:rsidRPr="00E50079">
              <w:rPr>
                <w:rFonts w:eastAsia="Times New Roman"/>
                <w:szCs w:val="24"/>
              </w:rPr>
              <w:t xml:space="preserve">151 to 300 </w:t>
            </w:r>
          </w:p>
        </w:tc>
        <w:tc>
          <w:tcPr>
            <w:tcW w:w="6807" w:type="dxa"/>
            <w:tcBorders>
              <w:top w:val="single" w:sz="8" w:space="0" w:color="C0C0C0"/>
              <w:left w:val="single" w:sz="8" w:space="0" w:color="C0C0C0"/>
              <w:bottom w:val="single" w:sz="8" w:space="0" w:color="C0C0C0"/>
              <w:right w:val="single" w:sz="8" w:space="0" w:color="C0C0C0"/>
            </w:tcBorders>
            <w:vAlign w:val="center"/>
            <w:hideMark/>
          </w:tcPr>
          <w:p w:rsidR="00A55EBB" w:rsidRPr="00E50079" w:rsidRDefault="00A55EBB" w:rsidP="00A55EBB">
            <w:pPr>
              <w:jc w:val="center"/>
              <w:rPr>
                <w:rFonts w:eastAsia="Times New Roman"/>
                <w:szCs w:val="24"/>
              </w:rPr>
            </w:pPr>
            <w:r w:rsidRPr="00E50079">
              <w:rPr>
                <w:rFonts w:eastAsia="Times New Roman"/>
                <w:szCs w:val="24"/>
              </w:rPr>
              <w:t xml:space="preserve">5 </w:t>
            </w:r>
          </w:p>
        </w:tc>
      </w:tr>
      <w:tr w:rsidR="00A55EBB" w:rsidRPr="00E50079" w:rsidTr="00A55EBB">
        <w:tc>
          <w:tcPr>
            <w:tcW w:w="0" w:type="auto"/>
            <w:tcBorders>
              <w:top w:val="single" w:sz="8" w:space="0" w:color="C0C0C0"/>
              <w:left w:val="single" w:sz="8" w:space="0" w:color="C0C0C0"/>
              <w:bottom w:val="single" w:sz="8" w:space="0" w:color="C0C0C0"/>
              <w:right w:val="single" w:sz="8" w:space="0" w:color="C0C0C0"/>
            </w:tcBorders>
            <w:vAlign w:val="center"/>
            <w:hideMark/>
          </w:tcPr>
          <w:p w:rsidR="00A55EBB" w:rsidRPr="00E50079" w:rsidRDefault="00A55EBB" w:rsidP="00A55EBB">
            <w:pPr>
              <w:jc w:val="center"/>
              <w:rPr>
                <w:rFonts w:eastAsia="Times New Roman"/>
                <w:szCs w:val="24"/>
              </w:rPr>
            </w:pPr>
            <w:r w:rsidRPr="00E50079">
              <w:rPr>
                <w:rFonts w:eastAsia="Times New Roman"/>
                <w:szCs w:val="24"/>
              </w:rPr>
              <w:t xml:space="preserve">301 to 500 </w:t>
            </w:r>
          </w:p>
        </w:tc>
        <w:tc>
          <w:tcPr>
            <w:tcW w:w="6807" w:type="dxa"/>
            <w:tcBorders>
              <w:top w:val="single" w:sz="8" w:space="0" w:color="C0C0C0"/>
              <w:left w:val="single" w:sz="8" w:space="0" w:color="C0C0C0"/>
              <w:bottom w:val="single" w:sz="8" w:space="0" w:color="C0C0C0"/>
              <w:right w:val="single" w:sz="8" w:space="0" w:color="C0C0C0"/>
            </w:tcBorders>
            <w:vAlign w:val="center"/>
            <w:hideMark/>
          </w:tcPr>
          <w:p w:rsidR="00A55EBB" w:rsidRPr="00E50079" w:rsidRDefault="00A55EBB" w:rsidP="00A55EBB">
            <w:pPr>
              <w:jc w:val="center"/>
              <w:rPr>
                <w:rFonts w:eastAsia="Times New Roman"/>
                <w:szCs w:val="24"/>
              </w:rPr>
            </w:pPr>
            <w:r w:rsidRPr="00E50079">
              <w:rPr>
                <w:rFonts w:eastAsia="Times New Roman"/>
                <w:szCs w:val="24"/>
              </w:rPr>
              <w:t xml:space="preserve">6 </w:t>
            </w:r>
          </w:p>
        </w:tc>
      </w:tr>
      <w:tr w:rsidR="00A55EBB" w:rsidRPr="00E50079" w:rsidTr="00A55EBB">
        <w:tc>
          <w:tcPr>
            <w:tcW w:w="0" w:type="auto"/>
            <w:tcBorders>
              <w:top w:val="single" w:sz="8" w:space="0" w:color="C0C0C0"/>
              <w:left w:val="single" w:sz="8" w:space="0" w:color="C0C0C0"/>
              <w:bottom w:val="single" w:sz="8" w:space="0" w:color="C0C0C0"/>
              <w:right w:val="single" w:sz="8" w:space="0" w:color="C0C0C0"/>
            </w:tcBorders>
            <w:vAlign w:val="center"/>
            <w:hideMark/>
          </w:tcPr>
          <w:p w:rsidR="00A55EBB" w:rsidRPr="00E50079" w:rsidRDefault="00A55EBB" w:rsidP="00A55EBB">
            <w:pPr>
              <w:jc w:val="center"/>
              <w:rPr>
                <w:rFonts w:eastAsia="Times New Roman"/>
                <w:szCs w:val="24"/>
              </w:rPr>
            </w:pPr>
            <w:r w:rsidRPr="00E50079">
              <w:rPr>
                <w:rFonts w:eastAsia="Times New Roman"/>
                <w:szCs w:val="24"/>
              </w:rPr>
              <w:t xml:space="preserve">501 to 5000 </w:t>
            </w:r>
          </w:p>
        </w:tc>
        <w:tc>
          <w:tcPr>
            <w:tcW w:w="6807" w:type="dxa"/>
            <w:tcBorders>
              <w:top w:val="single" w:sz="8" w:space="0" w:color="C0C0C0"/>
              <w:left w:val="single" w:sz="8" w:space="0" w:color="C0C0C0"/>
              <w:bottom w:val="single" w:sz="8" w:space="0" w:color="C0C0C0"/>
              <w:right w:val="single" w:sz="8" w:space="0" w:color="C0C0C0"/>
            </w:tcBorders>
            <w:vAlign w:val="center"/>
            <w:hideMark/>
          </w:tcPr>
          <w:p w:rsidR="00A55EBB" w:rsidRPr="00E50079" w:rsidRDefault="00A55EBB" w:rsidP="00A55EBB">
            <w:pPr>
              <w:jc w:val="center"/>
              <w:rPr>
                <w:rFonts w:eastAsia="Times New Roman"/>
                <w:szCs w:val="24"/>
              </w:rPr>
            </w:pPr>
            <w:r w:rsidRPr="00E50079">
              <w:rPr>
                <w:rFonts w:eastAsia="Times New Roman"/>
                <w:szCs w:val="24"/>
              </w:rPr>
              <w:t xml:space="preserve">6, plus 1 for each 150, </w:t>
            </w:r>
            <w:r w:rsidRPr="00E50079">
              <w:rPr>
                <w:rFonts w:eastAsia="Times New Roman"/>
                <w:szCs w:val="24"/>
              </w:rPr>
              <w:br/>
              <w:t xml:space="preserve">or fraction thereof, between 501 through 5000 </w:t>
            </w:r>
          </w:p>
        </w:tc>
      </w:tr>
      <w:tr w:rsidR="00A55EBB" w:rsidRPr="00E50079" w:rsidTr="00A55EBB">
        <w:tc>
          <w:tcPr>
            <w:tcW w:w="0" w:type="auto"/>
            <w:tcBorders>
              <w:top w:val="single" w:sz="8" w:space="0" w:color="C0C0C0"/>
              <w:left w:val="single" w:sz="8" w:space="0" w:color="C0C0C0"/>
              <w:bottom w:val="single" w:sz="8" w:space="0" w:color="C0C0C0"/>
              <w:right w:val="single" w:sz="8" w:space="0" w:color="C0C0C0"/>
            </w:tcBorders>
            <w:vAlign w:val="center"/>
            <w:hideMark/>
          </w:tcPr>
          <w:p w:rsidR="00A55EBB" w:rsidRPr="00E50079" w:rsidRDefault="00A55EBB" w:rsidP="00A55EBB">
            <w:pPr>
              <w:jc w:val="center"/>
              <w:rPr>
                <w:rFonts w:eastAsia="Times New Roman"/>
                <w:szCs w:val="24"/>
              </w:rPr>
            </w:pPr>
            <w:r w:rsidRPr="00E50079">
              <w:rPr>
                <w:rFonts w:eastAsia="Times New Roman"/>
                <w:szCs w:val="24"/>
              </w:rPr>
              <w:t xml:space="preserve">5001 and over </w:t>
            </w:r>
          </w:p>
        </w:tc>
        <w:tc>
          <w:tcPr>
            <w:tcW w:w="6807" w:type="dxa"/>
            <w:tcBorders>
              <w:top w:val="single" w:sz="8" w:space="0" w:color="C0C0C0"/>
              <w:left w:val="single" w:sz="8" w:space="0" w:color="C0C0C0"/>
              <w:bottom w:val="single" w:sz="8" w:space="0" w:color="C0C0C0"/>
              <w:right w:val="single" w:sz="8" w:space="0" w:color="C0C0C0"/>
            </w:tcBorders>
            <w:vAlign w:val="center"/>
            <w:hideMark/>
          </w:tcPr>
          <w:p w:rsidR="00A55EBB" w:rsidRPr="00E50079" w:rsidRDefault="00A55EBB" w:rsidP="00A55EBB">
            <w:pPr>
              <w:jc w:val="center"/>
              <w:rPr>
                <w:rFonts w:eastAsia="Times New Roman"/>
                <w:szCs w:val="24"/>
              </w:rPr>
            </w:pPr>
            <w:r w:rsidRPr="00E50079">
              <w:rPr>
                <w:rFonts w:eastAsia="Times New Roman"/>
                <w:szCs w:val="24"/>
              </w:rPr>
              <w:t xml:space="preserve">36, plus 1 for each 200, </w:t>
            </w:r>
            <w:r w:rsidRPr="00E50079">
              <w:rPr>
                <w:rFonts w:eastAsia="Times New Roman"/>
                <w:szCs w:val="24"/>
              </w:rPr>
              <w:br/>
              <w:t xml:space="preserve">or fraction thereof, over 5000 </w:t>
            </w:r>
          </w:p>
        </w:tc>
      </w:tr>
    </w:tbl>
    <w:p w:rsidR="00A55EBB" w:rsidRPr="00E50079" w:rsidRDefault="00A55EBB" w:rsidP="00A55EBB"/>
    <w:p w:rsidR="00684BDD" w:rsidRDefault="00684BDD" w:rsidP="00A55EBB">
      <w:pPr>
        <w:pStyle w:val="NormalWeb"/>
        <w:rPr>
          <w:rFonts w:ascii="Arial" w:hAnsi="Arial" w:cs="Arial"/>
          <w:b/>
        </w:rPr>
      </w:pPr>
      <w:r>
        <w:rPr>
          <w:rFonts w:ascii="Arial" w:hAnsi="Arial" w:cs="Arial"/>
          <w:b/>
        </w:rPr>
        <w:t>______________________________________________________________________</w:t>
      </w:r>
    </w:p>
    <w:p w:rsidR="00A55EBB" w:rsidRPr="00A55EBB" w:rsidRDefault="00684BDD" w:rsidP="00544D37">
      <w:pPr>
        <w:pStyle w:val="Heading1"/>
      </w:pPr>
      <w:bookmarkStart w:id="9" w:name="_Other_accommodations."/>
      <w:bookmarkEnd w:id="9"/>
      <w:r>
        <w:t>Other accommodations.</w:t>
      </w:r>
    </w:p>
    <w:p w:rsidR="002850EF" w:rsidRDefault="002850EF" w:rsidP="002850EF">
      <w:pPr>
        <w:autoSpaceDE w:val="0"/>
        <w:autoSpaceDN w:val="0"/>
        <w:adjustRightInd w:val="0"/>
        <w:rPr>
          <w:szCs w:val="24"/>
        </w:rPr>
      </w:pPr>
    </w:p>
    <w:p w:rsidR="00342E70" w:rsidRPr="00BD60EF" w:rsidRDefault="00342E70" w:rsidP="00342E70">
      <w:pPr>
        <w:autoSpaceDE w:val="0"/>
        <w:autoSpaceDN w:val="0"/>
        <w:adjustRightInd w:val="0"/>
        <w:rPr>
          <w:rFonts w:ascii="Times New Roman" w:hAnsi="Times New Roman" w:cs="Times New Roman"/>
          <w:szCs w:val="24"/>
        </w:rPr>
      </w:pPr>
      <w:r w:rsidRPr="0030466F">
        <w:rPr>
          <w:b/>
          <w:i/>
          <w:caps/>
        </w:rPr>
        <w:t>Illustration.</w:t>
      </w:r>
      <w:r>
        <w:rPr>
          <w:b/>
          <w:caps/>
        </w:rPr>
        <w:t xml:space="preserve">  </w:t>
      </w:r>
      <w:r w:rsidRPr="00BD60EF">
        <w:t>Individu</w:t>
      </w:r>
      <w:r>
        <w:t>al info</w:t>
      </w:r>
      <w:r w:rsidR="00163A1F">
        <w:t>rms the court that h</w:t>
      </w:r>
      <w:r w:rsidR="00E83647">
        <w:t xml:space="preserve">e or she </w:t>
      </w:r>
      <w:r w:rsidR="008B4150">
        <w:t>has a urinary tract disability and provides appropriate documentation.</w:t>
      </w:r>
    </w:p>
    <w:p w:rsidR="00342E70" w:rsidRDefault="00342E70" w:rsidP="002850EF">
      <w:pPr>
        <w:autoSpaceDE w:val="0"/>
        <w:autoSpaceDN w:val="0"/>
        <w:adjustRightInd w:val="0"/>
        <w:rPr>
          <w:szCs w:val="24"/>
        </w:rPr>
      </w:pPr>
    </w:p>
    <w:p w:rsidR="00E83647" w:rsidRPr="00E83647" w:rsidRDefault="00E83647" w:rsidP="002850EF">
      <w:pPr>
        <w:autoSpaceDE w:val="0"/>
        <w:autoSpaceDN w:val="0"/>
        <w:adjustRightInd w:val="0"/>
        <w:rPr>
          <w:b/>
          <w:szCs w:val="24"/>
        </w:rPr>
      </w:pPr>
      <w:r w:rsidRPr="00E83647">
        <w:rPr>
          <w:b/>
          <w:szCs w:val="24"/>
        </w:rPr>
        <w:t>Suggested accommodations</w:t>
      </w:r>
      <w:r w:rsidR="0030466F">
        <w:rPr>
          <w:b/>
          <w:szCs w:val="24"/>
        </w:rPr>
        <w:t xml:space="preserve"> include:</w:t>
      </w:r>
    </w:p>
    <w:p w:rsidR="00E83647" w:rsidRDefault="00E83647" w:rsidP="002850EF">
      <w:pPr>
        <w:autoSpaceDE w:val="0"/>
        <w:autoSpaceDN w:val="0"/>
        <w:adjustRightInd w:val="0"/>
        <w:rPr>
          <w:szCs w:val="24"/>
        </w:rPr>
      </w:pPr>
    </w:p>
    <w:p w:rsidR="00E83647" w:rsidRPr="00E83647" w:rsidRDefault="00663132" w:rsidP="00E83647">
      <w:pPr>
        <w:pStyle w:val="ListParagraph"/>
        <w:numPr>
          <w:ilvl w:val="0"/>
          <w:numId w:val="8"/>
        </w:numPr>
        <w:autoSpaceDE w:val="0"/>
        <w:autoSpaceDN w:val="0"/>
        <w:adjustRightInd w:val="0"/>
        <w:rPr>
          <w:szCs w:val="24"/>
        </w:rPr>
      </w:pPr>
      <w:r>
        <w:rPr>
          <w:szCs w:val="24"/>
        </w:rPr>
        <w:t>A</w:t>
      </w:r>
      <w:r w:rsidR="00E83647" w:rsidRPr="00E83647">
        <w:rPr>
          <w:szCs w:val="24"/>
        </w:rPr>
        <w:t>llow frequent bathroom breaks.</w:t>
      </w:r>
    </w:p>
    <w:p w:rsidR="009F466F" w:rsidRPr="009F466F" w:rsidRDefault="009F466F" w:rsidP="009F466F">
      <w:pPr>
        <w:autoSpaceDE w:val="0"/>
        <w:autoSpaceDN w:val="0"/>
        <w:adjustRightInd w:val="0"/>
        <w:rPr>
          <w:b/>
          <w:u w:val="single"/>
        </w:rPr>
      </w:pPr>
    </w:p>
    <w:p w:rsidR="00C5222D" w:rsidRDefault="00C5222D" w:rsidP="00AE0D8C">
      <w:pPr>
        <w:autoSpaceDE w:val="0"/>
        <w:autoSpaceDN w:val="0"/>
        <w:adjustRightInd w:val="0"/>
        <w:rPr>
          <w:szCs w:val="24"/>
        </w:rPr>
      </w:pPr>
    </w:p>
    <w:p w:rsidR="00A12D9D" w:rsidRPr="00BD60EF" w:rsidRDefault="00A12D9D" w:rsidP="00A12D9D">
      <w:pPr>
        <w:autoSpaceDE w:val="0"/>
        <w:autoSpaceDN w:val="0"/>
        <w:adjustRightInd w:val="0"/>
        <w:rPr>
          <w:rFonts w:ascii="Times New Roman" w:hAnsi="Times New Roman" w:cs="Times New Roman"/>
          <w:szCs w:val="24"/>
        </w:rPr>
      </w:pPr>
      <w:r w:rsidRPr="0030466F">
        <w:rPr>
          <w:b/>
          <w:i/>
          <w:caps/>
        </w:rPr>
        <w:t>Illustration.</w:t>
      </w:r>
      <w:r>
        <w:rPr>
          <w:b/>
          <w:caps/>
        </w:rPr>
        <w:t xml:space="preserve">  </w:t>
      </w:r>
      <w:r w:rsidRPr="00BD60EF">
        <w:t>Individu</w:t>
      </w:r>
      <w:r>
        <w:t>al informs the court that he or she is a diabetic.</w:t>
      </w:r>
    </w:p>
    <w:p w:rsidR="00C5222D" w:rsidRDefault="00C5222D" w:rsidP="00C5222D">
      <w:pPr>
        <w:autoSpaceDE w:val="0"/>
        <w:autoSpaceDN w:val="0"/>
        <w:adjustRightInd w:val="0"/>
        <w:rPr>
          <w:sz w:val="40"/>
          <w:szCs w:val="40"/>
        </w:rPr>
      </w:pPr>
    </w:p>
    <w:p w:rsidR="00A12D9D" w:rsidRDefault="00A12D9D" w:rsidP="00A12D9D">
      <w:pPr>
        <w:autoSpaceDE w:val="0"/>
        <w:autoSpaceDN w:val="0"/>
        <w:adjustRightInd w:val="0"/>
        <w:rPr>
          <w:b/>
          <w:szCs w:val="24"/>
        </w:rPr>
      </w:pPr>
      <w:r w:rsidRPr="00E83647">
        <w:rPr>
          <w:b/>
          <w:szCs w:val="24"/>
        </w:rPr>
        <w:t>Suggested accommodations</w:t>
      </w:r>
      <w:r>
        <w:rPr>
          <w:b/>
          <w:szCs w:val="24"/>
        </w:rPr>
        <w:t xml:space="preserve"> include:</w:t>
      </w:r>
    </w:p>
    <w:p w:rsidR="00A12D9D" w:rsidRDefault="00A12D9D" w:rsidP="00A12D9D">
      <w:pPr>
        <w:autoSpaceDE w:val="0"/>
        <w:autoSpaceDN w:val="0"/>
        <w:adjustRightInd w:val="0"/>
        <w:rPr>
          <w:b/>
          <w:szCs w:val="24"/>
        </w:rPr>
      </w:pPr>
    </w:p>
    <w:p w:rsidR="00A12D9D" w:rsidRPr="00A12D9D" w:rsidRDefault="00A12D9D" w:rsidP="00A12D9D">
      <w:pPr>
        <w:pStyle w:val="ListParagraph"/>
        <w:numPr>
          <w:ilvl w:val="0"/>
          <w:numId w:val="8"/>
        </w:numPr>
        <w:autoSpaceDE w:val="0"/>
        <w:autoSpaceDN w:val="0"/>
        <w:adjustRightInd w:val="0"/>
        <w:rPr>
          <w:szCs w:val="24"/>
        </w:rPr>
      </w:pPr>
      <w:r w:rsidRPr="00A12D9D">
        <w:rPr>
          <w:szCs w:val="24"/>
        </w:rPr>
        <w:t>Permit the individual to eat or consume sweets if necessary</w:t>
      </w:r>
      <w:r>
        <w:rPr>
          <w:szCs w:val="24"/>
        </w:rPr>
        <w:t xml:space="preserve"> to maintain blood sugar levels.</w:t>
      </w:r>
    </w:p>
    <w:p w:rsidR="00A12D9D" w:rsidRPr="00A12D9D" w:rsidRDefault="00A12D9D" w:rsidP="00C5222D">
      <w:pPr>
        <w:autoSpaceDE w:val="0"/>
        <w:autoSpaceDN w:val="0"/>
        <w:adjustRightInd w:val="0"/>
        <w:rPr>
          <w:sz w:val="40"/>
          <w:szCs w:val="40"/>
        </w:rPr>
      </w:pPr>
    </w:p>
    <w:sectPr w:rsidR="00A12D9D" w:rsidRPr="00A12D9D" w:rsidSect="00762F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D9D" w:rsidRDefault="00A12D9D" w:rsidP="004324F7">
      <w:r>
        <w:separator/>
      </w:r>
    </w:p>
  </w:endnote>
  <w:endnote w:type="continuationSeparator" w:id="0">
    <w:p w:rsidR="00A12D9D" w:rsidRDefault="00A12D9D" w:rsidP="0043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688759"/>
      <w:docPartObj>
        <w:docPartGallery w:val="Page Numbers (Bottom of Page)"/>
        <w:docPartUnique/>
      </w:docPartObj>
    </w:sdtPr>
    <w:sdtEndPr>
      <w:rPr>
        <w:color w:val="7F7F7F" w:themeColor="background1" w:themeShade="7F"/>
        <w:spacing w:val="60"/>
      </w:rPr>
    </w:sdtEndPr>
    <w:sdtContent>
      <w:p w:rsidR="00A12D9D" w:rsidRPr="004324F7" w:rsidRDefault="00A12D9D">
        <w:pPr>
          <w:pStyle w:val="Footer"/>
          <w:pBdr>
            <w:top w:val="single" w:sz="4" w:space="1" w:color="D9D9D9" w:themeColor="background1" w:themeShade="D9"/>
          </w:pBdr>
          <w:rPr>
            <w:b/>
            <w:sz w:val="22"/>
          </w:rPr>
        </w:pPr>
        <w:r w:rsidRPr="004324F7">
          <w:rPr>
            <w:sz w:val="22"/>
          </w:rPr>
          <w:fldChar w:fldCharType="begin"/>
        </w:r>
        <w:r w:rsidRPr="004324F7">
          <w:rPr>
            <w:sz w:val="22"/>
          </w:rPr>
          <w:instrText xml:space="preserve"> PAGE   \* MERGEFORMAT </w:instrText>
        </w:r>
        <w:r w:rsidRPr="004324F7">
          <w:rPr>
            <w:sz w:val="22"/>
          </w:rPr>
          <w:fldChar w:fldCharType="separate"/>
        </w:r>
        <w:r w:rsidR="00627153" w:rsidRPr="00627153">
          <w:rPr>
            <w:b/>
            <w:noProof/>
            <w:sz w:val="22"/>
          </w:rPr>
          <w:t>5</w:t>
        </w:r>
        <w:r w:rsidRPr="004324F7">
          <w:rPr>
            <w:sz w:val="22"/>
          </w:rPr>
          <w:fldChar w:fldCharType="end"/>
        </w:r>
        <w:r w:rsidRPr="004324F7">
          <w:rPr>
            <w:b/>
            <w:sz w:val="22"/>
          </w:rPr>
          <w:t xml:space="preserve"> | </w:t>
        </w:r>
        <w:r w:rsidRPr="004324F7">
          <w:rPr>
            <w:color w:val="7F7F7F" w:themeColor="background1" w:themeShade="7F"/>
            <w:spacing w:val="60"/>
            <w:sz w:val="22"/>
          </w:rPr>
          <w:t xml:space="preserve">Page            </w:t>
        </w:r>
        <w:r>
          <w:rPr>
            <w:color w:val="7F7F7F" w:themeColor="background1" w:themeShade="7F"/>
            <w:spacing w:val="60"/>
            <w:sz w:val="22"/>
          </w:rPr>
          <w:t xml:space="preserve">                       </w:t>
        </w:r>
        <w:r w:rsidRPr="004324F7">
          <w:rPr>
            <w:color w:val="7F7F7F" w:themeColor="background1" w:themeShade="7F"/>
            <w:spacing w:val="60"/>
            <w:sz w:val="22"/>
          </w:rPr>
          <w:t xml:space="preserve"> Accommodation Examples</w:t>
        </w:r>
      </w:p>
    </w:sdtContent>
  </w:sdt>
  <w:p w:rsidR="00A12D9D" w:rsidRDefault="00A12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D9D" w:rsidRDefault="00A12D9D" w:rsidP="004324F7">
      <w:r>
        <w:separator/>
      </w:r>
    </w:p>
  </w:footnote>
  <w:footnote w:type="continuationSeparator" w:id="0">
    <w:p w:rsidR="00A12D9D" w:rsidRDefault="00A12D9D" w:rsidP="00432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B38"/>
    <w:multiLevelType w:val="hybridMultilevel"/>
    <w:tmpl w:val="4D14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54CFD"/>
    <w:multiLevelType w:val="hybridMultilevel"/>
    <w:tmpl w:val="B7CE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B72CD"/>
    <w:multiLevelType w:val="hybridMultilevel"/>
    <w:tmpl w:val="422CF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60DDE"/>
    <w:multiLevelType w:val="hybridMultilevel"/>
    <w:tmpl w:val="FBAA5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02772"/>
    <w:multiLevelType w:val="hybridMultilevel"/>
    <w:tmpl w:val="2B0A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F70EE"/>
    <w:multiLevelType w:val="multilevel"/>
    <w:tmpl w:val="6A6AC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D54C0"/>
    <w:multiLevelType w:val="hybridMultilevel"/>
    <w:tmpl w:val="40F2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11011B"/>
    <w:multiLevelType w:val="hybridMultilevel"/>
    <w:tmpl w:val="243A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2C6786"/>
    <w:multiLevelType w:val="hybridMultilevel"/>
    <w:tmpl w:val="8FB0DB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63DF2D1D"/>
    <w:multiLevelType w:val="multilevel"/>
    <w:tmpl w:val="FF10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474750"/>
    <w:multiLevelType w:val="hybridMultilevel"/>
    <w:tmpl w:val="79E4C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3"/>
  </w:num>
  <w:num w:numId="5">
    <w:abstractNumId w:val="4"/>
  </w:num>
  <w:num w:numId="6">
    <w:abstractNumId w:val="1"/>
  </w:num>
  <w:num w:numId="7">
    <w:abstractNumId w:val="8"/>
  </w:num>
  <w:num w:numId="8">
    <w:abstractNumId w:val="0"/>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50"/>
    <w:rsid w:val="000245E1"/>
    <w:rsid w:val="00043A2A"/>
    <w:rsid w:val="00046D17"/>
    <w:rsid w:val="000763A8"/>
    <w:rsid w:val="000F17F8"/>
    <w:rsid w:val="001263A2"/>
    <w:rsid w:val="00163A1F"/>
    <w:rsid w:val="00200843"/>
    <w:rsid w:val="00210F48"/>
    <w:rsid w:val="00224704"/>
    <w:rsid w:val="002329D2"/>
    <w:rsid w:val="002850EF"/>
    <w:rsid w:val="0030466F"/>
    <w:rsid w:val="00342E70"/>
    <w:rsid w:val="003F22DD"/>
    <w:rsid w:val="004014EE"/>
    <w:rsid w:val="00424B6C"/>
    <w:rsid w:val="00427FEB"/>
    <w:rsid w:val="004324F7"/>
    <w:rsid w:val="004939BF"/>
    <w:rsid w:val="004A56C4"/>
    <w:rsid w:val="00511291"/>
    <w:rsid w:val="005357E5"/>
    <w:rsid w:val="00540299"/>
    <w:rsid w:val="00544D37"/>
    <w:rsid w:val="00547050"/>
    <w:rsid w:val="00591009"/>
    <w:rsid w:val="005B5C0B"/>
    <w:rsid w:val="005F38BB"/>
    <w:rsid w:val="006066E3"/>
    <w:rsid w:val="00627153"/>
    <w:rsid w:val="0063512E"/>
    <w:rsid w:val="00663132"/>
    <w:rsid w:val="00684BDD"/>
    <w:rsid w:val="006A6421"/>
    <w:rsid w:val="006A7370"/>
    <w:rsid w:val="006C0C06"/>
    <w:rsid w:val="006D4C78"/>
    <w:rsid w:val="00716F9D"/>
    <w:rsid w:val="00762F74"/>
    <w:rsid w:val="00781CBD"/>
    <w:rsid w:val="00806D1C"/>
    <w:rsid w:val="00844DE6"/>
    <w:rsid w:val="0089496D"/>
    <w:rsid w:val="008B072A"/>
    <w:rsid w:val="008B4150"/>
    <w:rsid w:val="0092332C"/>
    <w:rsid w:val="00946C95"/>
    <w:rsid w:val="009474F8"/>
    <w:rsid w:val="00957FA7"/>
    <w:rsid w:val="00965620"/>
    <w:rsid w:val="009758F0"/>
    <w:rsid w:val="009C673D"/>
    <w:rsid w:val="009F466F"/>
    <w:rsid w:val="00A07EBD"/>
    <w:rsid w:val="00A12D9D"/>
    <w:rsid w:val="00A402DE"/>
    <w:rsid w:val="00A461FF"/>
    <w:rsid w:val="00A5537B"/>
    <w:rsid w:val="00A55EBB"/>
    <w:rsid w:val="00AB09ED"/>
    <w:rsid w:val="00AE0D8C"/>
    <w:rsid w:val="00B2537B"/>
    <w:rsid w:val="00B31FE0"/>
    <w:rsid w:val="00B45E2A"/>
    <w:rsid w:val="00B6608D"/>
    <w:rsid w:val="00BA77A9"/>
    <w:rsid w:val="00BD60EF"/>
    <w:rsid w:val="00BD6A1C"/>
    <w:rsid w:val="00C03A21"/>
    <w:rsid w:val="00C147AA"/>
    <w:rsid w:val="00C24812"/>
    <w:rsid w:val="00C5222D"/>
    <w:rsid w:val="00C863B0"/>
    <w:rsid w:val="00D06E1F"/>
    <w:rsid w:val="00D32FCF"/>
    <w:rsid w:val="00D47433"/>
    <w:rsid w:val="00D72DA5"/>
    <w:rsid w:val="00E05E42"/>
    <w:rsid w:val="00E06A53"/>
    <w:rsid w:val="00E160C7"/>
    <w:rsid w:val="00E2498F"/>
    <w:rsid w:val="00E43417"/>
    <w:rsid w:val="00E50079"/>
    <w:rsid w:val="00E83647"/>
    <w:rsid w:val="00EA48E5"/>
    <w:rsid w:val="00EA6CB6"/>
    <w:rsid w:val="00EB0B6D"/>
    <w:rsid w:val="00ED46FB"/>
    <w:rsid w:val="00EF18C5"/>
    <w:rsid w:val="00FD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2149C-4A39-4EDD-AE04-4EF0CD17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F74"/>
  </w:style>
  <w:style w:type="paragraph" w:styleId="Heading1">
    <w:name w:val="heading 1"/>
    <w:basedOn w:val="Normal"/>
    <w:next w:val="Normal"/>
    <w:link w:val="Heading1Char"/>
    <w:uiPriority w:val="9"/>
    <w:qFormat/>
    <w:rsid w:val="00544D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263A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660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7050"/>
    <w:pPr>
      <w:spacing w:before="100" w:beforeAutospacing="1" w:after="100" w:afterAutospacing="1"/>
    </w:pPr>
    <w:rPr>
      <w:rFonts w:ascii="Times New Roman" w:eastAsia="Times New Roman" w:hAnsi="Times New Roman" w:cs="Times New Roman"/>
      <w:szCs w:val="24"/>
    </w:rPr>
  </w:style>
  <w:style w:type="character" w:customStyle="1" w:styleId="Heading2Char">
    <w:name w:val="Heading 2 Char"/>
    <w:basedOn w:val="DefaultParagraphFont"/>
    <w:link w:val="Heading2"/>
    <w:uiPriority w:val="9"/>
    <w:rsid w:val="001263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B6608D"/>
    <w:rPr>
      <w:rFonts w:asciiTheme="majorHAnsi" w:eastAsiaTheme="majorEastAsia" w:hAnsiTheme="majorHAnsi" w:cstheme="majorBidi"/>
      <w:b/>
      <w:bCs/>
      <w:color w:val="4F81BD" w:themeColor="accent1"/>
    </w:rPr>
  </w:style>
  <w:style w:type="character" w:customStyle="1" w:styleId="bluehighlight">
    <w:name w:val="bluehighlight"/>
    <w:basedOn w:val="DefaultParagraphFont"/>
    <w:rsid w:val="00B6608D"/>
  </w:style>
  <w:style w:type="paragraph" w:customStyle="1" w:styleId="first">
    <w:name w:val="first"/>
    <w:basedOn w:val="Normal"/>
    <w:rsid w:val="00B6608D"/>
    <w:pPr>
      <w:spacing w:before="100" w:beforeAutospacing="1" w:after="100" w:afterAutospacing="1"/>
    </w:pPr>
    <w:rPr>
      <w:rFonts w:ascii="Times New Roman" w:eastAsia="Times New Roman" w:hAnsi="Times New Roman" w:cs="Times New Roman"/>
      <w:szCs w:val="24"/>
    </w:rPr>
  </w:style>
  <w:style w:type="paragraph" w:customStyle="1" w:styleId="last">
    <w:name w:val="last"/>
    <w:basedOn w:val="Normal"/>
    <w:rsid w:val="00B6608D"/>
    <w:pPr>
      <w:spacing w:before="100" w:beforeAutospacing="1" w:after="100" w:afterAutospacing="1"/>
    </w:pPr>
    <w:rPr>
      <w:rFonts w:ascii="Times New Roman" w:eastAsia="Times New Roman" w:hAnsi="Times New Roman" w:cs="Times New Roman"/>
      <w:szCs w:val="24"/>
    </w:rPr>
  </w:style>
  <w:style w:type="paragraph" w:customStyle="1" w:styleId="advisory">
    <w:name w:val="advisory"/>
    <w:basedOn w:val="Normal"/>
    <w:rsid w:val="00B6608D"/>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A461FF"/>
    <w:pPr>
      <w:ind w:left="720"/>
      <w:contextualSpacing/>
    </w:pPr>
  </w:style>
  <w:style w:type="paragraph" w:customStyle="1" w:styleId="Default">
    <w:name w:val="Default"/>
    <w:rsid w:val="00C863B0"/>
    <w:pPr>
      <w:autoSpaceDE w:val="0"/>
      <w:autoSpaceDN w:val="0"/>
      <w:adjustRightInd w:val="0"/>
    </w:pPr>
    <w:rPr>
      <w:rFonts w:ascii="Calibri" w:hAnsi="Calibri" w:cs="Calibri"/>
      <w:color w:val="000000"/>
      <w:szCs w:val="24"/>
    </w:rPr>
  </w:style>
  <w:style w:type="character" w:customStyle="1" w:styleId="A6">
    <w:name w:val="A6"/>
    <w:uiPriority w:val="99"/>
    <w:rsid w:val="00C863B0"/>
    <w:rPr>
      <w:rFonts w:cs="Calibri"/>
      <w:b/>
      <w:bCs/>
      <w:color w:val="211D1E"/>
      <w:sz w:val="32"/>
      <w:szCs w:val="32"/>
    </w:rPr>
  </w:style>
  <w:style w:type="paragraph" w:customStyle="1" w:styleId="Pa14">
    <w:name w:val="Pa14"/>
    <w:basedOn w:val="Default"/>
    <w:next w:val="Default"/>
    <w:uiPriority w:val="99"/>
    <w:rsid w:val="00C863B0"/>
    <w:pPr>
      <w:spacing w:line="241" w:lineRule="atLeast"/>
    </w:pPr>
    <w:rPr>
      <w:rFonts w:cs="Arial"/>
      <w:color w:val="auto"/>
    </w:rPr>
  </w:style>
  <w:style w:type="character" w:customStyle="1" w:styleId="A5">
    <w:name w:val="A5"/>
    <w:uiPriority w:val="99"/>
    <w:rsid w:val="00C863B0"/>
    <w:rPr>
      <w:rFonts w:cs="Calibri"/>
      <w:i/>
      <w:iCs/>
      <w:color w:val="211D1E"/>
      <w:sz w:val="22"/>
      <w:szCs w:val="22"/>
    </w:rPr>
  </w:style>
  <w:style w:type="paragraph" w:customStyle="1" w:styleId="Pa31">
    <w:name w:val="Pa31"/>
    <w:basedOn w:val="Default"/>
    <w:next w:val="Default"/>
    <w:uiPriority w:val="99"/>
    <w:rsid w:val="00C863B0"/>
    <w:pPr>
      <w:spacing w:line="241" w:lineRule="atLeast"/>
    </w:pPr>
    <w:rPr>
      <w:rFonts w:cs="Arial"/>
      <w:color w:val="auto"/>
    </w:rPr>
  </w:style>
  <w:style w:type="character" w:customStyle="1" w:styleId="A7">
    <w:name w:val="A7"/>
    <w:uiPriority w:val="99"/>
    <w:rsid w:val="00C863B0"/>
    <w:rPr>
      <w:rFonts w:cs="Calibri"/>
      <w:color w:val="211D1E"/>
      <w:sz w:val="22"/>
      <w:szCs w:val="22"/>
    </w:rPr>
  </w:style>
  <w:style w:type="paragraph" w:customStyle="1" w:styleId="Pa32">
    <w:name w:val="Pa32"/>
    <w:basedOn w:val="Default"/>
    <w:next w:val="Default"/>
    <w:uiPriority w:val="99"/>
    <w:rsid w:val="00C863B0"/>
    <w:pPr>
      <w:spacing w:line="241" w:lineRule="atLeast"/>
    </w:pPr>
    <w:rPr>
      <w:rFonts w:cs="Arial"/>
      <w:color w:val="auto"/>
    </w:rPr>
  </w:style>
  <w:style w:type="character" w:styleId="Strong">
    <w:name w:val="Strong"/>
    <w:basedOn w:val="DefaultParagraphFont"/>
    <w:uiPriority w:val="22"/>
    <w:qFormat/>
    <w:rsid w:val="00424B6C"/>
    <w:rPr>
      <w:b/>
      <w:bCs/>
    </w:rPr>
  </w:style>
  <w:style w:type="character" w:styleId="Emphasis">
    <w:name w:val="Emphasis"/>
    <w:basedOn w:val="DefaultParagraphFont"/>
    <w:uiPriority w:val="20"/>
    <w:qFormat/>
    <w:rsid w:val="00424B6C"/>
    <w:rPr>
      <w:i/>
      <w:iCs/>
    </w:rPr>
  </w:style>
  <w:style w:type="character" w:styleId="Hyperlink">
    <w:name w:val="Hyperlink"/>
    <w:basedOn w:val="DefaultParagraphFont"/>
    <w:uiPriority w:val="99"/>
    <w:unhideWhenUsed/>
    <w:rsid w:val="00946C95"/>
    <w:rPr>
      <w:color w:val="0000FF" w:themeColor="hyperlink"/>
      <w:u w:val="single"/>
    </w:rPr>
  </w:style>
  <w:style w:type="paragraph" w:styleId="Header">
    <w:name w:val="header"/>
    <w:basedOn w:val="Normal"/>
    <w:link w:val="HeaderChar"/>
    <w:uiPriority w:val="99"/>
    <w:semiHidden/>
    <w:unhideWhenUsed/>
    <w:rsid w:val="004324F7"/>
    <w:pPr>
      <w:tabs>
        <w:tab w:val="center" w:pos="4680"/>
        <w:tab w:val="right" w:pos="9360"/>
      </w:tabs>
    </w:pPr>
  </w:style>
  <w:style w:type="character" w:customStyle="1" w:styleId="HeaderChar">
    <w:name w:val="Header Char"/>
    <w:basedOn w:val="DefaultParagraphFont"/>
    <w:link w:val="Header"/>
    <w:uiPriority w:val="99"/>
    <w:semiHidden/>
    <w:rsid w:val="004324F7"/>
  </w:style>
  <w:style w:type="paragraph" w:styleId="Footer">
    <w:name w:val="footer"/>
    <w:basedOn w:val="Normal"/>
    <w:link w:val="FooterChar"/>
    <w:uiPriority w:val="99"/>
    <w:unhideWhenUsed/>
    <w:rsid w:val="004324F7"/>
    <w:pPr>
      <w:tabs>
        <w:tab w:val="center" w:pos="4680"/>
        <w:tab w:val="right" w:pos="9360"/>
      </w:tabs>
    </w:pPr>
  </w:style>
  <w:style w:type="character" w:customStyle="1" w:styleId="FooterChar">
    <w:name w:val="Footer Char"/>
    <w:basedOn w:val="DefaultParagraphFont"/>
    <w:link w:val="Footer"/>
    <w:uiPriority w:val="99"/>
    <w:rsid w:val="004324F7"/>
  </w:style>
  <w:style w:type="character" w:customStyle="1" w:styleId="Heading1Char">
    <w:name w:val="Heading 1 Char"/>
    <w:basedOn w:val="DefaultParagraphFont"/>
    <w:link w:val="Heading1"/>
    <w:uiPriority w:val="9"/>
    <w:rsid w:val="00544D37"/>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844D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5100">
      <w:bodyDiv w:val="1"/>
      <w:marLeft w:val="0"/>
      <w:marRight w:val="0"/>
      <w:marTop w:val="0"/>
      <w:marBottom w:val="0"/>
      <w:divBdr>
        <w:top w:val="none" w:sz="0" w:space="0" w:color="auto"/>
        <w:left w:val="none" w:sz="0" w:space="0" w:color="auto"/>
        <w:bottom w:val="none" w:sz="0" w:space="0" w:color="auto"/>
        <w:right w:val="none" w:sz="0" w:space="0" w:color="auto"/>
      </w:divBdr>
      <w:divsChild>
        <w:div w:id="52431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3738729">
      <w:bodyDiv w:val="1"/>
      <w:marLeft w:val="0"/>
      <w:marRight w:val="0"/>
      <w:marTop w:val="0"/>
      <w:marBottom w:val="0"/>
      <w:divBdr>
        <w:top w:val="none" w:sz="0" w:space="0" w:color="auto"/>
        <w:left w:val="none" w:sz="0" w:space="0" w:color="auto"/>
        <w:bottom w:val="none" w:sz="0" w:space="0" w:color="auto"/>
        <w:right w:val="none" w:sz="0" w:space="0" w:color="auto"/>
      </w:divBdr>
      <w:divsChild>
        <w:div w:id="171534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50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jcourts.gov/public/assets/langSrvcs/lapappendix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AOC Washington State</Company>
  <LinksUpToDate>false</LinksUpToDate>
  <CharactersWithSpaces>10170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Bondon</dc:creator>
  <cp:keywords/>
  <dc:description/>
  <cp:lastModifiedBy>Rood, Kim</cp:lastModifiedBy>
  <cp:revision>3</cp:revision>
  <dcterms:created xsi:type="dcterms:W3CDTF">2019-03-13T18:54:00Z</dcterms:created>
  <dcterms:modified xsi:type="dcterms:W3CDTF">2019-03-13T18:57:00Z</dcterms:modified>
</cp:coreProperties>
</file>