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rPr>
      </w:pPr>
      <w:bookmarkStart w:id="0" w:name="_GoBack"/>
      <w:bookmarkEnd w:id="0"/>
      <w:r>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January 31, 2018</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t>Judges, Commissioners, County Clerks, Court Administrators, Libraries, Attorneys, and Public</w:t>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RE:</w:t>
      </w:r>
      <w:r>
        <w:rPr>
          <w:rFonts w:ascii="Arial" w:hAnsi="Arial" w:cs="Arial"/>
          <w:sz w:val="24"/>
          <w:szCs w:val="24"/>
        </w:rPr>
        <w:tab/>
        <w:t>Summary of Changes to Unlawful Harassment Protection Order Forms</w:t>
      </w:r>
    </w:p>
    <w:p>
      <w:pPr>
        <w:pStyle w:val="Default"/>
      </w:pPr>
    </w:p>
    <w:p>
      <w:pPr>
        <w:pStyle w:val="Default"/>
        <w:rPr>
          <w:sz w:val="23"/>
          <w:szCs w:val="23"/>
        </w:rPr>
      </w:pPr>
      <w:r>
        <w:t>T</w:t>
      </w:r>
      <w:r>
        <w:rPr>
          <w:sz w:val="23"/>
          <w:szCs w:val="23"/>
        </w:rPr>
        <w:t>he Washington Pattern Forms Committee updated the model Unlawful Harassment Protection Order forms to implement recommended changes to surrender of weapon provisions. These changes are published with updates to the Surrender of Weapons forms.</w:t>
      </w:r>
    </w:p>
    <w:p>
      <w:pPr>
        <w:tabs>
          <w:tab w:val="left" w:pos="5190"/>
        </w:tabs>
        <w:spacing w:after="0" w:line="240" w:lineRule="auto"/>
        <w:rPr>
          <w:rFonts w:ascii="Arial" w:hAnsi="Arial" w:cs="Arial"/>
          <w:sz w:val="23"/>
          <w:szCs w:val="23"/>
        </w:rPr>
      </w:pPr>
    </w:p>
    <w:p>
      <w:pPr>
        <w:tabs>
          <w:tab w:val="left" w:pos="5190"/>
        </w:tabs>
        <w:spacing w:after="0" w:line="240" w:lineRule="auto"/>
        <w:rPr>
          <w:rFonts w:ascii="Arial" w:hAnsi="Arial" w:cs="Arial"/>
          <w:sz w:val="23"/>
          <w:szCs w:val="23"/>
        </w:rPr>
      </w:pPr>
      <w:r>
        <w:rPr>
          <w:rFonts w:ascii="Arial" w:hAnsi="Arial" w:cs="Arial"/>
          <w:sz w:val="23"/>
          <w:szCs w:val="23"/>
        </w:rPr>
        <w:t>Detailed descriptions of the changes to the Unlawful Harassment protection order forms are in the table below:</w:t>
      </w:r>
    </w:p>
    <w:p>
      <w:pPr>
        <w:spacing w:after="0" w:line="240" w:lineRule="auto"/>
        <w:rPr>
          <w:rFonts w:ascii="Arial" w:hAnsi="Arial" w:cs="Arial"/>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610"/>
        <w:gridCol w:w="6930"/>
      </w:tblGrid>
      <w:tr>
        <w:trPr>
          <w:trHeight w:val="286"/>
        </w:trPr>
        <w:tc>
          <w:tcPr>
            <w:tcW w:w="261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number</w:t>
            </w:r>
          </w:p>
        </w:tc>
        <w:tc>
          <w:tcPr>
            <w:tcW w:w="693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title and description</w:t>
            </w:r>
          </w:p>
        </w:tc>
      </w:tr>
      <w:tr>
        <w:trPr>
          <w:trHeight w:val="286"/>
        </w:trPr>
        <w:tc>
          <w:tcPr>
            <w:tcW w:w="2610" w:type="dxa"/>
            <w:shd w:val="clear" w:color="auto" w:fill="auto"/>
          </w:tcPr>
          <w:p>
            <w:pPr>
              <w:spacing w:after="0" w:line="240" w:lineRule="auto"/>
              <w:rPr>
                <w:rFonts w:ascii="Arial" w:hAnsi="Arial" w:cs="Arial"/>
                <w:b/>
              </w:rPr>
            </w:pPr>
            <w:r>
              <w:rPr>
                <w:rFonts w:ascii="Arial" w:hAnsi="Arial" w:cs="Arial"/>
                <w:b/>
              </w:rPr>
              <w:t>UH 3.020</w:t>
            </w:r>
          </w:p>
        </w:tc>
        <w:tc>
          <w:tcPr>
            <w:tcW w:w="6930" w:type="dxa"/>
            <w:shd w:val="clear" w:color="auto" w:fill="auto"/>
          </w:tcPr>
          <w:p>
            <w:pPr>
              <w:spacing w:after="0" w:line="240" w:lineRule="auto"/>
              <w:rPr>
                <w:rFonts w:ascii="Arial" w:hAnsi="Arial" w:cs="Arial"/>
                <w:b/>
              </w:rPr>
            </w:pPr>
            <w:r>
              <w:rPr>
                <w:rFonts w:ascii="Arial" w:hAnsi="Arial" w:cs="Arial"/>
                <w:b/>
              </w:rPr>
              <w:t>Temporary Order for Protection and Notice of Hearing - Harassment</w:t>
            </w:r>
          </w:p>
          <w:p>
            <w:pPr>
              <w:spacing w:after="0" w:line="240" w:lineRule="auto"/>
              <w:rPr>
                <w:rFonts w:ascii="Arial" w:hAnsi="Arial" w:cs="Arial"/>
              </w:rPr>
            </w:pPr>
          </w:p>
          <w:p>
            <w:pPr>
              <w:spacing w:after="0" w:line="240" w:lineRule="auto"/>
              <w:rPr>
                <w:rFonts w:ascii="Arial" w:hAnsi="Arial" w:cs="Arial"/>
              </w:rPr>
            </w:pPr>
            <w:r>
              <w:rPr>
                <w:rFonts w:ascii="Arial" w:hAnsi="Arial" w:cs="Arial"/>
              </w:rPr>
              <w:t>Delete the code “ORWPN” in the first page caption and in the footer.  The Order to Surrender Weapons is now a separate document.</w:t>
            </w:r>
          </w:p>
          <w:p>
            <w:pPr>
              <w:spacing w:after="0" w:line="240" w:lineRule="auto"/>
              <w:rPr>
                <w:rFonts w:ascii="Arial" w:hAnsi="Arial" w:cs="Arial"/>
              </w:rPr>
            </w:pPr>
          </w:p>
          <w:p>
            <w:pPr>
              <w:spacing w:after="0" w:line="240" w:lineRule="auto"/>
              <w:rPr>
                <w:rFonts w:ascii="Arial" w:hAnsi="Arial" w:cs="Arial"/>
              </w:rPr>
            </w:pPr>
            <w:r>
              <w:rPr>
                <w:rFonts w:ascii="Arial" w:hAnsi="Arial" w:cs="Arial"/>
              </w:rPr>
              <w:t>On page two, change the “Surrender of Weapons” check box option as follows:</w:t>
            </w:r>
          </w:p>
          <w:p>
            <w:pPr>
              <w:spacing w:after="0" w:line="240" w:lineRule="auto"/>
              <w:rPr>
                <w:rFonts w:ascii="Arial" w:hAnsi="Arial" w:cs="Arial"/>
              </w:rPr>
            </w:pPr>
          </w:p>
          <w:p>
            <w:pPr>
              <w:tabs>
                <w:tab w:val="left" w:pos="-720"/>
              </w:tabs>
              <w:suppressAutoHyphens/>
              <w:spacing w:after="0" w:line="240" w:lineRule="auto"/>
              <w:ind w:left="720"/>
              <w:rPr>
                <w:rFonts w:ascii="Arial" w:hAnsi="Arial" w:cs="Arial"/>
                <w:color w:val="000000"/>
                <w:spacing w:val="-2"/>
              </w:rPr>
            </w:pPr>
            <w:r>
              <w:rPr>
                <w:rFonts w:ascii="Arial" w:hAnsi="Arial" w:cs="Arial"/>
                <w:spacing w:val="-2"/>
              </w:rPr>
              <w:fldChar w:fldCharType="begin">
                <w:ffData>
                  <w:name w:val="Check2"/>
                  <w:enabled/>
                  <w:calcOnExit w:val="0"/>
                  <w:checkBox>
                    <w:size w:val="20"/>
                    <w:default w:val="0"/>
                  </w:checkBox>
                </w:ffData>
              </w:fldChar>
            </w:r>
            <w:bookmarkStart w:id="1" w:name="Check2"/>
            <w:r>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Pr>
                <w:rFonts w:ascii="Arial" w:hAnsi="Arial" w:cs="Arial"/>
                <w:spacing w:val="-2"/>
              </w:rPr>
              <w:fldChar w:fldCharType="end"/>
            </w:r>
            <w:bookmarkEnd w:id="1"/>
            <w:r>
              <w:rPr>
                <w:rFonts w:ascii="Arial" w:hAnsi="Arial" w:cs="Arial"/>
                <w:spacing w:val="-2"/>
              </w:rPr>
              <w:t xml:space="preserve"> </w:t>
            </w:r>
            <w:r>
              <w:rPr>
                <w:rFonts w:ascii="Arial" w:hAnsi="Arial" w:cs="Arial"/>
                <w:b/>
              </w:rPr>
              <w:t>Surrender of Weapons</w:t>
            </w:r>
            <w:r>
              <w:rPr>
                <w:rFonts w:ascii="Arial" w:hAnsi="Arial" w:cs="Arial"/>
                <w:b/>
                <w:u w:val="single"/>
              </w:rPr>
              <w:t xml:space="preserve"> Order filed separately</w:t>
            </w:r>
          </w:p>
          <w:p>
            <w:pPr>
              <w:tabs>
                <w:tab w:val="left" w:pos="-720"/>
              </w:tabs>
              <w:suppressAutoHyphens/>
              <w:spacing w:after="0" w:line="240" w:lineRule="auto"/>
              <w:ind w:left="720"/>
              <w:rPr>
                <w:rFonts w:ascii="Arial" w:hAnsi="Arial" w:cs="Arial"/>
                <w:strike/>
                <w:color w:val="000000"/>
                <w:spacing w:val="-2"/>
              </w:rPr>
            </w:pPr>
          </w:p>
          <w:p>
            <w:pPr>
              <w:tabs>
                <w:tab w:val="left" w:pos="-720"/>
              </w:tabs>
              <w:suppressAutoHyphens/>
              <w:spacing w:after="0" w:line="240" w:lineRule="auto"/>
              <w:ind w:left="720"/>
              <w:rPr>
                <w:rFonts w:ascii="Arial" w:hAnsi="Arial" w:cs="Arial"/>
                <w:strike/>
                <w:color w:val="000000"/>
                <w:spacing w:val="-2"/>
              </w:rPr>
            </w:pPr>
            <w:r>
              <w:rPr>
                <w:rFonts w:ascii="Arial" w:hAnsi="Arial" w:cs="Arial"/>
                <w:strike/>
                <w:color w:val="000000"/>
                <w:spacing w:val="-2"/>
              </w:rPr>
              <w:t xml:space="preserve">The respondent must turn in any firearms and other dangerous weapons as stated in the </w:t>
            </w:r>
            <w:r>
              <w:rPr>
                <w:rFonts w:ascii="Arial" w:hAnsi="Arial" w:cs="Arial"/>
                <w:b/>
                <w:i/>
                <w:strike/>
                <w:color w:val="000000"/>
                <w:spacing w:val="-2"/>
              </w:rPr>
              <w:t>Order to Surrender Weapons Issued Without Notice</w:t>
            </w:r>
            <w:r>
              <w:rPr>
                <w:rFonts w:ascii="Arial" w:hAnsi="Arial" w:cs="Arial"/>
                <w:strike/>
                <w:color w:val="000000"/>
                <w:spacing w:val="-2"/>
              </w:rPr>
              <w:t xml:space="preserve"> filed separately.</w:t>
            </w:r>
          </w:p>
          <w:p>
            <w:pPr>
              <w:tabs>
                <w:tab w:val="left" w:pos="-720"/>
              </w:tabs>
              <w:suppressAutoHyphens/>
              <w:spacing w:after="0" w:line="240" w:lineRule="auto"/>
              <w:ind w:left="720"/>
              <w:rPr>
                <w:rFonts w:ascii="Arial" w:hAnsi="Arial" w:cs="Arial"/>
                <w:color w:val="000000"/>
                <w:spacing w:val="-2"/>
                <w:u w:val="single"/>
              </w:rPr>
            </w:pPr>
          </w:p>
          <w:p>
            <w:pPr>
              <w:tabs>
                <w:tab w:val="left" w:pos="-720"/>
              </w:tabs>
              <w:suppressAutoHyphens/>
              <w:spacing w:after="0" w:line="240" w:lineRule="auto"/>
              <w:ind w:left="720"/>
              <w:rPr>
                <w:rFonts w:ascii="Arial" w:hAnsi="Arial" w:cs="Arial"/>
                <w:spacing w:val="-2"/>
                <w:u w:val="single"/>
              </w:rPr>
            </w:pPr>
            <w:r>
              <w:rPr>
                <w:rFonts w:ascii="Arial" w:hAnsi="Arial" w:cs="Arial"/>
                <w:color w:val="000000"/>
                <w:spacing w:val="-2"/>
                <w:u w:val="single"/>
              </w:rPr>
              <w:t xml:space="preserve">The respondent must comply with the </w:t>
            </w:r>
            <w:r>
              <w:rPr>
                <w:rFonts w:ascii="Arial" w:hAnsi="Arial" w:cs="Arial"/>
                <w:b/>
                <w:i/>
                <w:color w:val="000000"/>
                <w:spacing w:val="-2"/>
                <w:u w:val="single"/>
              </w:rPr>
              <w:t>Order to Surrender Weapons Issued Without Notice</w:t>
            </w:r>
            <w:r>
              <w:rPr>
                <w:rFonts w:ascii="Arial" w:hAnsi="Arial" w:cs="Arial"/>
                <w:color w:val="000000"/>
                <w:spacing w:val="-2"/>
                <w:u w:val="single"/>
              </w:rPr>
              <w:t xml:space="preserve"> filed separately, which requires the respondent to surrender any firearms and other dangerous weapons.</w:t>
            </w:r>
          </w:p>
          <w:p>
            <w:pPr>
              <w:spacing w:after="0" w:line="240" w:lineRule="auto"/>
              <w:ind w:left="720"/>
              <w:rPr>
                <w:rFonts w:ascii="Arial" w:hAnsi="Arial" w:cs="Arial"/>
                <w:spacing w:val="-2"/>
                <w:u w:val="single"/>
              </w:rPr>
            </w:pPr>
          </w:p>
          <w:p>
            <w:pPr>
              <w:spacing w:after="0" w:line="240" w:lineRule="auto"/>
              <w:ind w:left="720"/>
              <w:rPr>
                <w:rFonts w:ascii="Arial" w:hAnsi="Arial" w:cs="Arial"/>
                <w:spacing w:val="-2"/>
                <w:u w:val="single"/>
              </w:rPr>
            </w:pPr>
            <w:r>
              <w:rPr>
                <w:rFonts w:ascii="Arial" w:hAnsi="Arial" w:cs="Arial"/>
                <w:spacing w:val="-2"/>
                <w:u w:val="single"/>
              </w:rPr>
              <w:t>The court finds that irreparable injury could result if the order to surrender weapons is not issued.</w:t>
            </w:r>
          </w:p>
          <w:p>
            <w:pPr>
              <w:spacing w:after="0" w:line="240" w:lineRule="auto"/>
              <w:ind w:left="720"/>
              <w:rPr>
                <w:rFonts w:ascii="Arial" w:hAnsi="Arial" w:cs="Arial"/>
                <w:sz w:val="20"/>
                <w:szCs w:val="20"/>
              </w:rPr>
            </w:pPr>
          </w:p>
        </w:tc>
      </w:tr>
    </w:tbl>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610"/>
        <w:gridCol w:w="6930"/>
      </w:tblGrid>
      <w:tr>
        <w:trPr>
          <w:trHeight w:val="286"/>
        </w:trPr>
        <w:tc>
          <w:tcPr>
            <w:tcW w:w="2610" w:type="dxa"/>
            <w:shd w:val="clear" w:color="auto" w:fill="auto"/>
          </w:tcPr>
          <w:p>
            <w:pPr>
              <w:spacing w:after="0" w:line="240" w:lineRule="auto"/>
              <w:rPr>
                <w:rFonts w:ascii="Arial" w:hAnsi="Arial" w:cs="Arial"/>
                <w:b/>
              </w:rPr>
            </w:pPr>
            <w:r>
              <w:rPr>
                <w:rFonts w:ascii="Arial" w:hAnsi="Arial" w:cs="Arial"/>
                <w:b/>
              </w:rPr>
              <w:lastRenderedPageBreak/>
              <w:t>UH 4.011</w:t>
            </w:r>
          </w:p>
        </w:tc>
        <w:tc>
          <w:tcPr>
            <w:tcW w:w="6930" w:type="dxa"/>
            <w:shd w:val="clear" w:color="auto" w:fill="auto"/>
          </w:tcPr>
          <w:p>
            <w:pPr>
              <w:spacing w:after="0" w:line="240" w:lineRule="auto"/>
              <w:rPr>
                <w:rFonts w:ascii="Arial" w:hAnsi="Arial" w:cs="Arial"/>
                <w:b/>
              </w:rPr>
            </w:pPr>
            <w:r>
              <w:rPr>
                <w:rFonts w:ascii="Arial" w:hAnsi="Arial" w:cs="Arial"/>
                <w:b/>
              </w:rPr>
              <w:t>Return of Service - Harassment</w:t>
            </w:r>
          </w:p>
          <w:p>
            <w:pPr>
              <w:spacing w:after="0" w:line="240" w:lineRule="auto"/>
              <w:rPr>
                <w:rFonts w:ascii="Arial" w:hAnsi="Arial" w:cs="Arial"/>
              </w:rPr>
            </w:pPr>
          </w:p>
          <w:p>
            <w:pPr>
              <w:spacing w:after="0" w:line="240" w:lineRule="auto"/>
              <w:rPr>
                <w:rFonts w:ascii="Arial" w:hAnsi="Arial" w:cs="Arial"/>
              </w:rPr>
            </w:pPr>
            <w:r>
              <w:rPr>
                <w:rFonts w:ascii="Arial" w:hAnsi="Arial" w:cs="Arial"/>
              </w:rPr>
              <w:t>In section 4, at the top of the right column in the table of documents, insert the following two check boxes:</w:t>
            </w:r>
          </w:p>
          <w:p>
            <w:pPr>
              <w:spacing w:after="0" w:line="240" w:lineRule="auto"/>
              <w:rPr>
                <w:rFonts w:ascii="Arial" w:hAnsi="Arial" w:cs="Arial"/>
              </w:rPr>
            </w:pPr>
          </w:p>
          <w:p>
            <w:pPr>
              <w:tabs>
                <w:tab w:val="left" w:pos="-450"/>
                <w:tab w:val="left" w:pos="0"/>
                <w:tab w:val="left" w:pos="432"/>
                <w:tab w:val="left" w:pos="720"/>
                <w:tab w:val="left" w:pos="818"/>
                <w:tab w:val="left" w:pos="1440"/>
              </w:tabs>
              <w:spacing w:after="0" w:line="240" w:lineRule="auto"/>
              <w:ind w:left="864" w:hanging="432"/>
              <w:rPr>
                <w:rFonts w:ascii="Arial" w:hAnsi="Arial" w:cs="Arial"/>
              </w:rPr>
            </w:pPr>
            <w:r>
              <w:rPr>
                <w:rFonts w:ascii="Arial" w:hAnsi="Arial" w:cs="Arial"/>
              </w:rPr>
              <w:t>“</w:t>
            </w:r>
            <w:r>
              <w:rPr>
                <w:rFonts w:ascii="Arial" w:hAnsi="Arial" w:cs="Arial"/>
              </w:rPr>
              <w:fldChar w:fldCharType="begin">
                <w:ffData>
                  <w:name w:val="Check2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Order to Surrender Weapons Issued without Notice</w:t>
            </w:r>
          </w:p>
          <w:p>
            <w:pPr>
              <w:tabs>
                <w:tab w:val="left" w:pos="-450"/>
                <w:tab w:val="left" w:pos="0"/>
                <w:tab w:val="left" w:pos="432"/>
                <w:tab w:val="left" w:pos="720"/>
                <w:tab w:val="left" w:pos="818"/>
                <w:tab w:val="left" w:pos="1440"/>
              </w:tabs>
              <w:spacing w:before="120" w:after="0" w:line="240" w:lineRule="auto"/>
              <w:ind w:left="864" w:hanging="346"/>
              <w:rPr>
                <w:rFonts w:ascii="Arial" w:hAnsi="Arial" w:cs="Arial"/>
              </w:rPr>
            </w:pPr>
            <w:r>
              <w:rPr>
                <w:rFonts w:ascii="Arial" w:hAnsi="Arial" w:cs="Arial"/>
              </w:rPr>
              <w:fldChar w:fldCharType="begin">
                <w:ffData>
                  <w:name w:val="Check26"/>
                  <w:enabled/>
                  <w:calcOnExit w:val="0"/>
                  <w:checkBox>
                    <w:sizeAuto/>
                    <w:default w:val="0"/>
                  </w:checkBox>
                </w:ffData>
              </w:fldChar>
            </w:r>
            <w:bookmarkStart w:id="2" w:name="Check2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Order to Surrender Weapons”</w:t>
            </w:r>
          </w:p>
          <w:p>
            <w:pPr>
              <w:spacing w:after="0" w:line="240" w:lineRule="auto"/>
              <w:rPr>
                <w:rFonts w:ascii="Arial" w:hAnsi="Arial" w:cs="Arial"/>
              </w:rPr>
            </w:pPr>
          </w:p>
        </w:tc>
      </w:tr>
      <w:tr>
        <w:trPr>
          <w:trHeight w:val="286"/>
        </w:trPr>
        <w:tc>
          <w:tcPr>
            <w:tcW w:w="2610" w:type="dxa"/>
          </w:tcPr>
          <w:p>
            <w:pPr>
              <w:spacing w:after="0" w:line="240" w:lineRule="auto"/>
              <w:rPr>
                <w:rFonts w:ascii="Arial" w:hAnsi="Arial" w:cs="Arial"/>
                <w:b/>
              </w:rPr>
            </w:pPr>
            <w:r>
              <w:rPr>
                <w:rFonts w:ascii="Arial" w:hAnsi="Arial" w:cs="Arial"/>
                <w:b/>
              </w:rPr>
              <w:t>UH 4.050</w:t>
            </w:r>
          </w:p>
        </w:tc>
        <w:tc>
          <w:tcPr>
            <w:tcW w:w="6930" w:type="dxa"/>
          </w:tcPr>
          <w:p>
            <w:pPr>
              <w:spacing w:after="0" w:line="240" w:lineRule="auto"/>
              <w:rPr>
                <w:rFonts w:ascii="Arial" w:hAnsi="Arial" w:cs="Arial"/>
                <w:b/>
              </w:rPr>
            </w:pPr>
            <w:r>
              <w:rPr>
                <w:rFonts w:ascii="Arial" w:hAnsi="Arial" w:cs="Arial"/>
                <w:b/>
              </w:rPr>
              <w:t>Order for Protection - Harassment</w:t>
            </w:r>
          </w:p>
          <w:p>
            <w:pPr>
              <w:spacing w:after="0" w:line="240" w:lineRule="auto"/>
              <w:rPr>
                <w:rFonts w:ascii="Arial" w:hAnsi="Arial" w:cs="Arial"/>
                <w:sz w:val="20"/>
                <w:szCs w:val="20"/>
              </w:rPr>
            </w:pPr>
          </w:p>
          <w:p>
            <w:pPr>
              <w:spacing w:after="0" w:line="240" w:lineRule="auto"/>
              <w:rPr>
                <w:rFonts w:ascii="Arial" w:hAnsi="Arial" w:cs="Arial"/>
              </w:rPr>
            </w:pPr>
            <w:r>
              <w:rPr>
                <w:rFonts w:ascii="Arial" w:hAnsi="Arial" w:cs="Arial"/>
              </w:rPr>
              <w:t>Delete the code “ORWPNP” in the first page caption and in the footer.  The Order to Surrender Weapons, including any Concealed Pistol License, is now a separate document.</w:t>
            </w:r>
          </w:p>
          <w:p>
            <w:pPr>
              <w:spacing w:after="0" w:line="240" w:lineRule="auto"/>
              <w:rPr>
                <w:rFonts w:ascii="Arial" w:hAnsi="Arial" w:cs="Arial"/>
              </w:rPr>
            </w:pPr>
          </w:p>
          <w:p>
            <w:pPr>
              <w:spacing w:after="0" w:line="240" w:lineRule="auto"/>
              <w:rPr>
                <w:rFonts w:ascii="Arial" w:hAnsi="Arial" w:cs="Arial"/>
                <w:spacing w:val="-2"/>
              </w:rPr>
            </w:pPr>
            <w:r>
              <w:rPr>
                <w:rFonts w:ascii="Arial" w:hAnsi="Arial" w:cs="Arial"/>
                <w:spacing w:val="-2"/>
              </w:rPr>
              <w:t>On page two, change the beginning of the section “</w:t>
            </w:r>
            <w:r>
              <w:rPr>
                <w:rFonts w:ascii="Arial" w:hAnsi="Arial" w:cs="Arial"/>
                <w:b/>
                <w:spacing w:val="-2"/>
              </w:rPr>
              <w:t>Prohibit Weapons and Order Surrender</w:t>
            </w:r>
            <w:r>
              <w:rPr>
                <w:rFonts w:ascii="Arial" w:hAnsi="Arial" w:cs="Arial"/>
                <w:spacing w:val="-2"/>
              </w:rPr>
              <w:t>” as follows:</w:t>
            </w:r>
          </w:p>
          <w:p>
            <w:pPr>
              <w:spacing w:after="0" w:line="240" w:lineRule="auto"/>
              <w:rPr>
                <w:rFonts w:ascii="Arial" w:hAnsi="Arial" w:cs="Arial"/>
                <w:spacing w:val="-2"/>
              </w:rPr>
            </w:pPr>
          </w:p>
          <w:p>
            <w:pPr>
              <w:tabs>
                <w:tab w:val="right" w:pos="9360"/>
              </w:tabs>
              <w:suppressAutoHyphens/>
              <w:ind w:left="245"/>
              <w:rPr>
                <w:rFonts w:ascii="Arial" w:hAnsi="Arial" w:cs="Arial"/>
                <w:color w:val="000000"/>
                <w:spacing w:val="-2"/>
              </w:rPr>
            </w:pPr>
            <w:r>
              <w:rPr>
                <w:rFonts w:ascii="Arial" w:hAnsi="Arial" w:cs="Arial"/>
                <w:color w:val="000000"/>
                <w:spacing w:val="-2"/>
              </w:rPr>
              <w:t>“The Respondent must:</w:t>
            </w:r>
          </w:p>
          <w:p>
            <w:pPr>
              <w:pStyle w:val="ListParagraph"/>
              <w:numPr>
                <w:ilvl w:val="0"/>
                <w:numId w:val="23"/>
              </w:numPr>
              <w:tabs>
                <w:tab w:val="left" w:pos="533"/>
                <w:tab w:val="right" w:pos="9360"/>
              </w:tabs>
              <w:suppressAutoHyphens/>
              <w:spacing w:before="120" w:after="0" w:line="240" w:lineRule="auto"/>
              <w:ind w:left="519" w:hanging="274"/>
              <w:rPr>
                <w:rFonts w:ascii="Arial" w:hAnsi="Arial" w:cs="Arial"/>
                <w:color w:val="000000"/>
                <w:spacing w:val="-2"/>
              </w:rPr>
            </w:pPr>
            <w:r>
              <w:rPr>
                <w:rFonts w:ascii="Arial" w:hAnsi="Arial" w:cs="Arial"/>
                <w:color w:val="000000"/>
                <w:spacing w:val="-2"/>
              </w:rPr>
              <w:t xml:space="preserve">not </w:t>
            </w:r>
            <w:r>
              <w:rPr>
                <w:rFonts w:ascii="Arial" w:hAnsi="Arial" w:cs="Arial"/>
                <w:color w:val="000000"/>
                <w:spacing w:val="-2"/>
                <w:u w:val="single"/>
              </w:rPr>
              <w:t>possess or</w:t>
            </w:r>
            <w:r>
              <w:rPr>
                <w:rFonts w:ascii="Arial" w:hAnsi="Arial" w:cs="Arial"/>
                <w:color w:val="000000"/>
                <w:spacing w:val="-2"/>
              </w:rPr>
              <w:t xml:space="preserve"> obtain </w:t>
            </w:r>
            <w:r>
              <w:rPr>
                <w:rFonts w:ascii="Arial" w:hAnsi="Arial" w:cs="Arial"/>
                <w:strike/>
                <w:color w:val="000000"/>
                <w:spacing w:val="-2"/>
              </w:rPr>
              <w:t xml:space="preserve">or possess </w:t>
            </w:r>
            <w:r>
              <w:rPr>
                <w:rFonts w:ascii="Arial" w:hAnsi="Arial" w:cs="Arial"/>
                <w:color w:val="000000"/>
                <w:spacing w:val="-2"/>
              </w:rPr>
              <w:t xml:space="preserve">any firearms, other dangerous weapons, or concealed pistol license; and  </w:t>
            </w:r>
          </w:p>
          <w:p>
            <w:pPr>
              <w:pStyle w:val="ListParagraph"/>
              <w:numPr>
                <w:ilvl w:val="0"/>
                <w:numId w:val="23"/>
              </w:numPr>
              <w:tabs>
                <w:tab w:val="left" w:pos="533"/>
                <w:tab w:val="right" w:pos="9360"/>
              </w:tabs>
              <w:suppressAutoHyphens/>
              <w:spacing w:before="40" w:after="0" w:line="240" w:lineRule="auto"/>
              <w:ind w:left="515" w:hanging="270"/>
              <w:rPr>
                <w:rFonts w:ascii="Arial" w:hAnsi="Arial" w:cs="Arial"/>
                <w:color w:val="000000"/>
                <w:spacing w:val="-2"/>
              </w:rPr>
            </w:pPr>
            <w:proofErr w:type="gramStart"/>
            <w:r>
              <w:rPr>
                <w:rFonts w:ascii="Arial" w:hAnsi="Arial" w:cs="Arial"/>
                <w:strike/>
                <w:color w:val="000000"/>
                <w:spacing w:val="-2"/>
              </w:rPr>
              <w:t>turn</w:t>
            </w:r>
            <w:proofErr w:type="gramEnd"/>
            <w:r>
              <w:rPr>
                <w:rFonts w:ascii="Arial" w:hAnsi="Arial" w:cs="Arial"/>
                <w:strike/>
                <w:color w:val="000000"/>
                <w:spacing w:val="-2"/>
              </w:rPr>
              <w:t xml:space="preserve"> in any firearms, other dangerous weapons, and concealed pistol license as stated in  </w:t>
            </w:r>
            <w:r>
              <w:rPr>
                <w:rFonts w:ascii="Arial" w:hAnsi="Arial" w:cs="Arial"/>
                <w:color w:val="000000"/>
                <w:spacing w:val="-2"/>
                <w:u w:val="single"/>
              </w:rPr>
              <w:t>comply with the</w:t>
            </w:r>
            <w:r>
              <w:rPr>
                <w:rFonts w:ascii="Arial" w:hAnsi="Arial" w:cs="Arial"/>
                <w:color w:val="000000"/>
                <w:spacing w:val="-2"/>
              </w:rPr>
              <w:t xml:space="preserve"> </w:t>
            </w:r>
            <w:r>
              <w:rPr>
                <w:rFonts w:ascii="Arial" w:hAnsi="Arial" w:cs="Arial"/>
                <w:b/>
                <w:i/>
                <w:color w:val="000000"/>
                <w:spacing w:val="-2"/>
              </w:rPr>
              <w:t>Order to Surrender Weapons</w:t>
            </w:r>
            <w:r>
              <w:rPr>
                <w:rFonts w:ascii="Arial" w:hAnsi="Arial" w:cs="Arial"/>
                <w:color w:val="000000"/>
                <w:spacing w:val="-2"/>
              </w:rPr>
              <w:t xml:space="preserve"> filed separately.”</w:t>
            </w:r>
          </w:p>
          <w:p>
            <w:pPr>
              <w:spacing w:after="0" w:line="240" w:lineRule="auto"/>
              <w:rPr>
                <w:rFonts w:ascii="Arial" w:hAnsi="Arial" w:cs="Arial"/>
              </w:rPr>
            </w:pPr>
          </w:p>
          <w:p>
            <w:pPr>
              <w:spacing w:after="0" w:line="240" w:lineRule="auto"/>
              <w:rPr>
                <w:rFonts w:ascii="Arial" w:hAnsi="Arial" w:cs="Arial"/>
              </w:rPr>
            </w:pPr>
            <w:r>
              <w:rPr>
                <w:rFonts w:ascii="Arial" w:hAnsi="Arial" w:cs="Arial"/>
              </w:rPr>
              <w:t>Make the following changes in the “Findings” section: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Change the check box option that begins with “must” as follows:</w:t>
            </w:r>
          </w:p>
          <w:p>
            <w:pPr>
              <w:spacing w:after="0" w:line="240" w:lineRule="auto"/>
              <w:rPr>
                <w:rFonts w:ascii="Arial" w:hAnsi="Arial" w:cs="Arial"/>
              </w:rPr>
            </w:pPr>
          </w:p>
          <w:p>
            <w:pPr>
              <w:tabs>
                <w:tab w:val="left" w:pos="695"/>
                <w:tab w:val="right" w:pos="9360"/>
              </w:tabs>
              <w:suppressAutoHyphens/>
              <w:spacing w:before="80"/>
              <w:ind w:left="695" w:hanging="450"/>
              <w:rPr>
                <w:rFonts w:ascii="Arial" w:hAnsi="Arial" w:cs="Arial"/>
                <w:color w:val="000000"/>
                <w:spacing w:val="-2"/>
              </w:rPr>
            </w:pPr>
            <w:r>
              <w:rPr>
                <w:rFonts w:ascii="Arial" w:hAnsi="Arial" w:cs="Arial"/>
                <w:color w:val="000000"/>
              </w:rPr>
              <w:t>“</w:t>
            </w:r>
            <w:r>
              <w:rPr>
                <w:rFonts w:ascii="Arial" w:hAnsi="Arial" w:cs="Arial"/>
                <w:color w:val="000000"/>
              </w:rPr>
              <w:fldChar w:fldCharType="begin">
                <w:ffData>
                  <w:name w:val="Check7"/>
                  <w:enabled/>
                  <w:calcOnExit w:val="0"/>
                  <w:checkBox>
                    <w:size w:val="16"/>
                    <w:default w:val="0"/>
                  </w:checkBox>
                </w:ffData>
              </w:fldChar>
            </w:r>
            <w:bookmarkStart w:id="3" w:name="Check7"/>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3"/>
            <w:r>
              <w:rPr>
                <w:rFonts w:ascii="Arial" w:hAnsi="Arial" w:cs="Arial"/>
                <w:color w:val="000000"/>
              </w:rPr>
              <w:tab/>
            </w:r>
            <w:r>
              <w:rPr>
                <w:rFonts w:ascii="Arial" w:hAnsi="Arial" w:cs="Arial"/>
                <w:b/>
                <w:color w:val="000000"/>
                <w:spacing w:val="-2"/>
              </w:rPr>
              <w:t>must</w:t>
            </w:r>
            <w:r>
              <w:rPr>
                <w:rFonts w:ascii="Arial" w:hAnsi="Arial" w:cs="Arial"/>
                <w:color w:val="000000"/>
                <w:spacing w:val="-2"/>
              </w:rPr>
              <w:t xml:space="preserve"> issue the </w:t>
            </w:r>
            <w:r>
              <w:rPr>
                <w:rFonts w:ascii="Arial" w:hAnsi="Arial" w:cs="Arial"/>
                <w:color w:val="000000"/>
                <w:spacing w:val="-2"/>
                <w:u w:val="single"/>
              </w:rPr>
              <w:t>orders referred to above</w:t>
            </w:r>
            <w:r>
              <w:rPr>
                <w:rFonts w:ascii="Arial" w:hAnsi="Arial" w:cs="Arial"/>
                <w:color w:val="000000"/>
                <w:spacing w:val="-2"/>
              </w:rPr>
              <w:t xml:space="preserve"> </w:t>
            </w:r>
            <w:proofErr w:type="spellStart"/>
            <w:r>
              <w:rPr>
                <w:rFonts w:ascii="Arial" w:hAnsi="Arial" w:cs="Arial"/>
                <w:strike/>
                <w:color w:val="000000"/>
                <w:spacing w:val="-2"/>
              </w:rPr>
              <w:t>above</w:t>
            </w:r>
            <w:proofErr w:type="spellEnd"/>
            <w:r>
              <w:rPr>
                <w:rFonts w:ascii="Arial" w:hAnsi="Arial" w:cs="Arial"/>
                <w:strike/>
                <w:color w:val="000000"/>
                <w:spacing w:val="-2"/>
              </w:rPr>
              <w:t xml:space="preserve"> orders and an </w:t>
            </w:r>
            <w:r>
              <w:rPr>
                <w:rFonts w:ascii="Arial" w:hAnsi="Arial" w:cs="Arial"/>
                <w:b/>
                <w:i/>
                <w:strike/>
                <w:color w:val="000000"/>
                <w:spacing w:val="-2"/>
              </w:rPr>
              <w:t>Order to Surrender Weapons</w:t>
            </w:r>
            <w:r>
              <w:rPr>
                <w:rFonts w:ascii="Arial" w:hAnsi="Arial" w:cs="Arial"/>
                <w:strike/>
                <w:color w:val="000000"/>
                <w:spacing w:val="-2"/>
              </w:rPr>
              <w:t xml:space="preserve"> </w:t>
            </w:r>
            <w:r>
              <w:rPr>
                <w:rFonts w:ascii="Arial" w:hAnsi="Arial" w:cs="Arial"/>
                <w:color w:val="000000"/>
                <w:spacing w:val="-2"/>
              </w:rPr>
              <w:t xml:space="preserve">because:” </w:t>
            </w:r>
          </w:p>
          <w:p>
            <w:pPr>
              <w:tabs>
                <w:tab w:val="left" w:pos="695"/>
                <w:tab w:val="right" w:pos="9360"/>
              </w:tabs>
              <w:suppressAutoHyphens/>
              <w:spacing w:before="80"/>
              <w:ind w:left="450" w:hanging="450"/>
              <w:rPr>
                <w:rFonts w:ascii="Arial" w:hAnsi="Arial" w:cs="Arial"/>
                <w:color w:val="000000"/>
                <w:spacing w:val="-2"/>
              </w:rPr>
            </w:pPr>
            <w:r>
              <w:rPr>
                <w:rFonts w:ascii="Arial" w:hAnsi="Arial" w:cs="Arial"/>
                <w:color w:val="000000"/>
                <w:spacing w:val="-2"/>
              </w:rPr>
              <w:t>Change the check box option that begins with “may” as follows:</w:t>
            </w:r>
          </w:p>
          <w:p>
            <w:pPr>
              <w:tabs>
                <w:tab w:val="left" w:pos="695"/>
                <w:tab w:val="right" w:pos="9360"/>
              </w:tabs>
              <w:suppressAutoHyphens/>
              <w:spacing w:before="80"/>
              <w:ind w:left="691" w:hanging="446"/>
              <w:rPr>
                <w:rFonts w:ascii="Arial" w:hAnsi="Arial" w:cs="Arial"/>
                <w:color w:val="000000"/>
                <w:spacing w:val="-2"/>
              </w:rPr>
            </w:pPr>
            <w:r>
              <w:rPr>
                <w:rFonts w:ascii="Arial" w:hAnsi="Arial" w:cs="Arial"/>
                <w:color w:val="000000"/>
              </w:rPr>
              <w:t>“</w:t>
            </w:r>
            <w:r>
              <w:rPr>
                <w:rFonts w:ascii="Arial" w:hAnsi="Arial" w:cs="Arial"/>
                <w:color w:val="000000"/>
              </w:rPr>
              <w:fldChar w:fldCharType="begin">
                <w:ffData>
                  <w:name w:val=""/>
                  <w:enabled/>
                  <w:calcOnExit w:val="0"/>
                  <w:checkBox>
                    <w:size w:val="16"/>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proofErr w:type="gramStart"/>
            <w:r>
              <w:rPr>
                <w:rFonts w:ascii="Arial" w:hAnsi="Arial" w:cs="Arial"/>
                <w:b/>
                <w:color w:val="000000"/>
                <w:spacing w:val="-2"/>
              </w:rPr>
              <w:t>may</w:t>
            </w:r>
            <w:proofErr w:type="gramEnd"/>
            <w:r>
              <w:rPr>
                <w:rFonts w:ascii="Arial" w:hAnsi="Arial" w:cs="Arial"/>
                <w:color w:val="000000"/>
                <w:spacing w:val="-2"/>
              </w:rPr>
              <w:t xml:space="preserve"> issue the </w:t>
            </w:r>
            <w:r>
              <w:rPr>
                <w:rFonts w:ascii="Arial" w:hAnsi="Arial" w:cs="Arial"/>
                <w:color w:val="000000"/>
                <w:spacing w:val="-2"/>
                <w:u w:val="single"/>
              </w:rPr>
              <w:t>orders referred to above</w:t>
            </w:r>
            <w:r>
              <w:rPr>
                <w:rFonts w:ascii="Arial" w:hAnsi="Arial" w:cs="Arial"/>
                <w:color w:val="000000"/>
                <w:spacing w:val="-2"/>
              </w:rPr>
              <w:t xml:space="preserve"> </w:t>
            </w:r>
            <w:proofErr w:type="spellStart"/>
            <w:r>
              <w:rPr>
                <w:rFonts w:ascii="Arial" w:hAnsi="Arial" w:cs="Arial"/>
                <w:strike/>
                <w:color w:val="000000"/>
                <w:spacing w:val="-2"/>
              </w:rPr>
              <w:t>above</w:t>
            </w:r>
            <w:proofErr w:type="spellEnd"/>
            <w:r>
              <w:rPr>
                <w:rFonts w:ascii="Arial" w:hAnsi="Arial" w:cs="Arial"/>
                <w:strike/>
                <w:color w:val="000000"/>
                <w:spacing w:val="-2"/>
              </w:rPr>
              <w:t xml:space="preserve"> orders and an </w:t>
            </w:r>
            <w:r>
              <w:rPr>
                <w:rFonts w:ascii="Arial" w:hAnsi="Arial" w:cs="Arial"/>
                <w:b/>
                <w:i/>
                <w:strike/>
                <w:color w:val="000000"/>
                <w:spacing w:val="-2"/>
              </w:rPr>
              <w:t>Order to Surrender Weapons</w:t>
            </w:r>
            <w:r>
              <w:rPr>
                <w:rFonts w:ascii="Arial" w:hAnsi="Arial" w:cs="Arial"/>
                <w:strike/>
                <w:color w:val="000000"/>
                <w:spacing w:val="-2"/>
              </w:rPr>
              <w:t xml:space="preserve"> </w:t>
            </w:r>
            <w:r>
              <w:rPr>
                <w:rFonts w:ascii="Arial" w:hAnsi="Arial" w:cs="Arial"/>
                <w:color w:val="000000"/>
                <w:spacing w:val="-2"/>
              </w:rPr>
              <w:t>because the court finds by a preponderance of evidence, the Respondent:</w:t>
            </w:r>
            <w:r>
              <w:rPr>
                <w:rFonts w:ascii="Arial" w:hAnsi="Arial" w:cs="Arial"/>
                <w:i/>
                <w:color w:val="000000"/>
                <w:spacing w:val="-2"/>
              </w:rPr>
              <w:t>…</w:t>
            </w:r>
            <w:r>
              <w:rPr>
                <w:rFonts w:ascii="Arial" w:hAnsi="Arial" w:cs="Arial"/>
                <w:color w:val="000000"/>
                <w:spacing w:val="-2"/>
              </w:rPr>
              <w:t>”</w:t>
            </w:r>
          </w:p>
        </w:tc>
      </w:tr>
      <w:tr>
        <w:trPr>
          <w:trHeight w:val="286"/>
        </w:trPr>
        <w:tc>
          <w:tcPr>
            <w:tcW w:w="2610" w:type="dxa"/>
          </w:tcPr>
          <w:p>
            <w:pPr>
              <w:spacing w:after="0" w:line="240" w:lineRule="auto"/>
              <w:rPr>
                <w:rFonts w:ascii="Arial" w:eastAsia="Times New Roman" w:hAnsi="Arial" w:cs="Arial"/>
                <w:b/>
                <w:color w:val="000000"/>
              </w:rPr>
            </w:pPr>
            <w:r>
              <w:rPr>
                <w:rFonts w:ascii="Arial" w:eastAsia="Times New Roman" w:hAnsi="Arial" w:cs="Arial"/>
                <w:b/>
                <w:color w:val="000000"/>
              </w:rPr>
              <w:t>UH 5.030</w:t>
            </w:r>
          </w:p>
        </w:tc>
        <w:tc>
          <w:tcPr>
            <w:tcW w:w="6930" w:type="dxa"/>
            <w:vAlign w:val="center"/>
          </w:tcPr>
          <w:p>
            <w:pPr>
              <w:spacing w:after="0" w:line="240" w:lineRule="auto"/>
              <w:rPr>
                <w:rFonts w:ascii="Arial" w:eastAsia="Times New Roman" w:hAnsi="Arial" w:cs="Arial"/>
              </w:rPr>
            </w:pPr>
            <w:r>
              <w:rPr>
                <w:rFonts w:ascii="Arial" w:eastAsia="Times New Roman" w:hAnsi="Arial" w:cs="Arial"/>
                <w:b/>
              </w:rPr>
              <w:t>Temporary Order for Protection and Notice of Hearing – Respondent under 18 – Harassment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hAnsi="Arial" w:cs="Arial"/>
              </w:rPr>
              <w:t>Delete the code “ORWPN” in the first page caption and in the footer.  The Order to Surrender Weapons is now a separate document.</w:t>
            </w:r>
          </w:p>
          <w:p>
            <w:pPr>
              <w:spacing w:after="0" w:line="240" w:lineRule="auto"/>
              <w:rPr>
                <w:rFonts w:ascii="Arial" w:hAnsi="Arial" w:cs="Arial"/>
              </w:rPr>
            </w:pPr>
          </w:p>
          <w:p>
            <w:pPr>
              <w:spacing w:after="0" w:line="240" w:lineRule="auto"/>
              <w:rPr>
                <w:rFonts w:ascii="Arial" w:hAnsi="Arial" w:cs="Arial"/>
              </w:rPr>
            </w:pPr>
            <w:r>
              <w:rPr>
                <w:rFonts w:ascii="Arial" w:hAnsi="Arial" w:cs="Arial"/>
              </w:rPr>
              <w:t>On page two, change the “Surrender of Weapons” check box option as follows:</w:t>
            </w:r>
          </w:p>
          <w:p>
            <w:pPr>
              <w:spacing w:after="0" w:line="240" w:lineRule="auto"/>
              <w:rPr>
                <w:rFonts w:ascii="Arial" w:hAnsi="Arial" w:cs="Arial"/>
                <w:sz w:val="20"/>
                <w:szCs w:val="20"/>
              </w:rPr>
            </w:pPr>
          </w:p>
          <w:p>
            <w:pPr>
              <w:tabs>
                <w:tab w:val="left" w:pos="-720"/>
              </w:tabs>
              <w:suppressAutoHyphens/>
              <w:spacing w:before="120"/>
              <w:ind w:left="335"/>
              <w:rPr>
                <w:rFonts w:ascii="Arial" w:hAnsi="Arial" w:cs="Arial"/>
                <w:color w:val="000000"/>
                <w:spacing w:val="-2"/>
                <w:sz w:val="16"/>
              </w:rPr>
            </w:pPr>
            <w:r>
              <w:rPr>
                <w:rFonts w:ascii="Arial" w:hAnsi="Arial" w:cs="Arial"/>
                <w:spacing w:val="-2"/>
                <w:sz w:val="20"/>
              </w:rPr>
              <w:lastRenderedPageBreak/>
              <w:fldChar w:fldCharType="begin">
                <w:ffData>
                  <w:name w:val="Check2"/>
                  <w:enabled/>
                  <w:calcOnExit w:val="0"/>
                  <w:checkBox>
                    <w:size w:val="20"/>
                    <w:default w:val="0"/>
                  </w:checkBox>
                </w:ffData>
              </w:fldChar>
            </w:r>
            <w:r>
              <w:rPr>
                <w:rFonts w:ascii="Arial" w:hAnsi="Arial" w:cs="Arial"/>
                <w:spacing w:val="-2"/>
                <w:sz w:val="20"/>
              </w:rPr>
              <w:instrText xml:space="preserve"> FORMCHECKBOX </w:instrText>
            </w:r>
            <w:r>
              <w:rPr>
                <w:rFonts w:ascii="Arial" w:hAnsi="Arial" w:cs="Arial"/>
                <w:spacing w:val="-2"/>
                <w:sz w:val="20"/>
              </w:rPr>
            </w:r>
            <w:r>
              <w:rPr>
                <w:rFonts w:ascii="Arial" w:hAnsi="Arial" w:cs="Arial"/>
                <w:spacing w:val="-2"/>
                <w:sz w:val="20"/>
              </w:rPr>
              <w:fldChar w:fldCharType="separate"/>
            </w:r>
            <w:r>
              <w:rPr>
                <w:rFonts w:ascii="Arial" w:hAnsi="Arial" w:cs="Arial"/>
                <w:spacing w:val="-2"/>
                <w:sz w:val="20"/>
              </w:rPr>
              <w:fldChar w:fldCharType="end"/>
            </w:r>
            <w:r>
              <w:rPr>
                <w:rFonts w:ascii="Arial" w:hAnsi="Arial" w:cs="Arial"/>
                <w:spacing w:val="-2"/>
                <w:sz w:val="20"/>
              </w:rPr>
              <w:t xml:space="preserve"> </w:t>
            </w:r>
            <w:r>
              <w:rPr>
                <w:rFonts w:ascii="Arial" w:hAnsi="Arial" w:cs="Arial"/>
                <w:b/>
              </w:rPr>
              <w:t>Surrender of Weapons</w:t>
            </w:r>
            <w:r>
              <w:rPr>
                <w:rFonts w:ascii="Arial" w:hAnsi="Arial" w:cs="Arial"/>
                <w:b/>
                <w:u w:val="single"/>
              </w:rPr>
              <w:t xml:space="preserve"> Order filed separately</w:t>
            </w:r>
          </w:p>
          <w:p>
            <w:pPr>
              <w:tabs>
                <w:tab w:val="left" w:pos="-720"/>
              </w:tabs>
              <w:suppressAutoHyphens/>
              <w:ind w:left="605"/>
              <w:rPr>
                <w:rFonts w:ascii="Arial" w:hAnsi="Arial" w:cs="Arial"/>
                <w:strike/>
                <w:color w:val="000000"/>
                <w:spacing w:val="-2"/>
              </w:rPr>
            </w:pPr>
            <w:r>
              <w:rPr>
                <w:rFonts w:ascii="Arial" w:hAnsi="Arial" w:cs="Arial"/>
                <w:strike/>
                <w:color w:val="000000"/>
                <w:spacing w:val="-2"/>
              </w:rPr>
              <w:t xml:space="preserve">The respondent must turn in any firearms and other dangerous weapons as stated in the </w:t>
            </w:r>
            <w:r>
              <w:rPr>
                <w:rFonts w:ascii="Arial" w:hAnsi="Arial" w:cs="Arial"/>
                <w:b/>
                <w:i/>
                <w:strike/>
                <w:color w:val="000000"/>
                <w:spacing w:val="-2"/>
              </w:rPr>
              <w:t>Order to Surrender Weapons Issued Without Notice</w:t>
            </w:r>
            <w:r>
              <w:rPr>
                <w:rFonts w:ascii="Arial" w:hAnsi="Arial" w:cs="Arial"/>
                <w:strike/>
                <w:color w:val="000000"/>
                <w:spacing w:val="-2"/>
              </w:rPr>
              <w:t xml:space="preserve"> filed separately.</w:t>
            </w:r>
          </w:p>
          <w:p>
            <w:pPr>
              <w:tabs>
                <w:tab w:val="left" w:pos="-720"/>
              </w:tabs>
              <w:suppressAutoHyphens/>
              <w:ind w:left="605"/>
              <w:rPr>
                <w:rFonts w:ascii="Arial" w:hAnsi="Arial" w:cs="Arial"/>
                <w:spacing w:val="-2"/>
                <w:u w:val="single"/>
              </w:rPr>
            </w:pPr>
            <w:r>
              <w:rPr>
                <w:rFonts w:ascii="Arial" w:hAnsi="Arial" w:cs="Arial"/>
                <w:color w:val="000000"/>
                <w:spacing w:val="-2"/>
                <w:u w:val="single"/>
              </w:rPr>
              <w:t xml:space="preserve">The respondent must comply with the </w:t>
            </w:r>
            <w:r>
              <w:rPr>
                <w:rFonts w:ascii="Arial" w:hAnsi="Arial" w:cs="Arial"/>
                <w:b/>
                <w:i/>
                <w:color w:val="000000"/>
                <w:spacing w:val="-2"/>
                <w:u w:val="single"/>
              </w:rPr>
              <w:t>Order to Surrender Weapons Issued Without Notice</w:t>
            </w:r>
            <w:r>
              <w:rPr>
                <w:rFonts w:ascii="Arial" w:hAnsi="Arial" w:cs="Arial"/>
                <w:color w:val="000000"/>
                <w:spacing w:val="-2"/>
                <w:u w:val="single"/>
              </w:rPr>
              <w:t xml:space="preserve"> filed separately, which requires the respondent to surrender any firearms and other dangerous weapons.</w:t>
            </w:r>
          </w:p>
          <w:p>
            <w:pPr>
              <w:spacing w:after="0" w:line="240" w:lineRule="auto"/>
              <w:ind w:left="605"/>
              <w:rPr>
                <w:rFonts w:ascii="Arial" w:hAnsi="Arial" w:cs="Arial"/>
                <w:spacing w:val="-2"/>
                <w:u w:val="single"/>
              </w:rPr>
            </w:pPr>
            <w:r>
              <w:rPr>
                <w:rFonts w:ascii="Arial" w:hAnsi="Arial" w:cs="Arial"/>
                <w:spacing w:val="-2"/>
                <w:u w:val="single"/>
              </w:rPr>
              <w:t>The court finds that irreparable injury could result if the order to surrender weapons is not issued.</w:t>
            </w:r>
          </w:p>
          <w:p>
            <w:pPr>
              <w:spacing w:after="0" w:line="240" w:lineRule="auto"/>
              <w:rPr>
                <w:rFonts w:ascii="Arial" w:eastAsia="Times New Roman" w:hAnsi="Arial" w:cs="Arial"/>
              </w:rPr>
            </w:pPr>
          </w:p>
        </w:tc>
      </w:tr>
      <w:tr>
        <w:trPr>
          <w:trHeight w:val="286"/>
        </w:trPr>
        <w:tc>
          <w:tcPr>
            <w:tcW w:w="2610" w:type="dxa"/>
          </w:tcPr>
          <w:p>
            <w:pPr>
              <w:spacing w:after="0" w:line="240" w:lineRule="auto"/>
              <w:rPr>
                <w:rFonts w:ascii="Arial" w:eastAsia="Times New Roman" w:hAnsi="Arial" w:cs="Arial"/>
                <w:b/>
                <w:color w:val="000000"/>
              </w:rPr>
            </w:pPr>
            <w:r>
              <w:rPr>
                <w:rFonts w:ascii="Arial" w:eastAsia="Times New Roman" w:hAnsi="Arial" w:cs="Arial"/>
                <w:b/>
                <w:color w:val="000000"/>
              </w:rPr>
              <w:lastRenderedPageBreak/>
              <w:t>UH 5.050</w:t>
            </w:r>
          </w:p>
        </w:tc>
        <w:tc>
          <w:tcPr>
            <w:tcW w:w="6930" w:type="dxa"/>
            <w:vAlign w:val="center"/>
          </w:tcPr>
          <w:p>
            <w:pPr>
              <w:spacing w:after="0" w:line="240" w:lineRule="auto"/>
              <w:rPr>
                <w:rFonts w:ascii="Arial" w:eastAsia="Times New Roman" w:hAnsi="Arial" w:cs="Arial"/>
              </w:rPr>
            </w:pPr>
            <w:r>
              <w:rPr>
                <w:rFonts w:ascii="Arial" w:eastAsia="Times New Roman" w:hAnsi="Arial" w:cs="Arial"/>
                <w:b/>
              </w:rPr>
              <w:t>Order for Protection – Respondent under 18 – Harassment</w:t>
            </w:r>
          </w:p>
          <w:p>
            <w:pPr>
              <w:spacing w:after="0" w:line="240" w:lineRule="auto"/>
              <w:rPr>
                <w:rFonts w:ascii="Arial" w:eastAsia="Times New Roman" w:hAnsi="Arial" w:cs="Arial"/>
              </w:rPr>
            </w:pPr>
          </w:p>
          <w:p>
            <w:pPr>
              <w:spacing w:after="0" w:line="240" w:lineRule="auto"/>
              <w:rPr>
                <w:rFonts w:ascii="Arial" w:hAnsi="Arial" w:cs="Arial"/>
              </w:rPr>
            </w:pPr>
            <w:r>
              <w:rPr>
                <w:rFonts w:ascii="Arial" w:hAnsi="Arial" w:cs="Arial"/>
              </w:rPr>
              <w:t>Delete the code “ORWPNP” in the first page caption and in the footer.  The Order to Surrender Weapons, including any Concealed Pistol License, is now a separate document.</w:t>
            </w:r>
          </w:p>
          <w:p>
            <w:pPr>
              <w:spacing w:after="0" w:line="240" w:lineRule="auto"/>
              <w:rPr>
                <w:rFonts w:ascii="Arial" w:hAnsi="Arial" w:cs="Arial"/>
              </w:rPr>
            </w:pPr>
          </w:p>
          <w:p>
            <w:pPr>
              <w:spacing w:after="0" w:line="240" w:lineRule="auto"/>
              <w:rPr>
                <w:rFonts w:ascii="Arial" w:hAnsi="Arial" w:cs="Arial"/>
                <w:spacing w:val="-2"/>
              </w:rPr>
            </w:pPr>
            <w:r>
              <w:rPr>
                <w:rFonts w:ascii="Arial" w:hAnsi="Arial" w:cs="Arial"/>
                <w:spacing w:val="-2"/>
              </w:rPr>
              <w:t>On page two, change the beginning of the section “</w:t>
            </w:r>
            <w:r>
              <w:rPr>
                <w:rFonts w:ascii="Arial" w:hAnsi="Arial" w:cs="Arial"/>
                <w:b/>
                <w:spacing w:val="-2"/>
              </w:rPr>
              <w:t>Prohibit Weapons and Order Surrender</w:t>
            </w:r>
            <w:r>
              <w:rPr>
                <w:rFonts w:ascii="Arial" w:hAnsi="Arial" w:cs="Arial"/>
                <w:spacing w:val="-2"/>
              </w:rPr>
              <w:t>” as follows:</w:t>
            </w:r>
          </w:p>
          <w:p>
            <w:pPr>
              <w:spacing w:after="0" w:line="240" w:lineRule="auto"/>
              <w:rPr>
                <w:rFonts w:ascii="Arial" w:hAnsi="Arial" w:cs="Arial"/>
                <w:spacing w:val="-2"/>
              </w:rPr>
            </w:pPr>
          </w:p>
          <w:p>
            <w:pPr>
              <w:tabs>
                <w:tab w:val="right" w:pos="9360"/>
              </w:tabs>
              <w:suppressAutoHyphens/>
              <w:spacing w:after="0" w:line="240" w:lineRule="auto"/>
              <w:ind w:left="245"/>
              <w:rPr>
                <w:rFonts w:ascii="Arial" w:hAnsi="Arial" w:cs="Arial"/>
                <w:color w:val="000000"/>
                <w:spacing w:val="-2"/>
              </w:rPr>
            </w:pPr>
            <w:r>
              <w:rPr>
                <w:rFonts w:ascii="Arial" w:hAnsi="Arial" w:cs="Arial"/>
                <w:color w:val="000000"/>
                <w:spacing w:val="-2"/>
              </w:rPr>
              <w:t>“The Respondent must:</w:t>
            </w:r>
          </w:p>
          <w:p>
            <w:pPr>
              <w:tabs>
                <w:tab w:val="right" w:pos="9360"/>
              </w:tabs>
              <w:suppressAutoHyphens/>
              <w:spacing w:after="0" w:line="240" w:lineRule="auto"/>
              <w:ind w:left="245"/>
              <w:rPr>
                <w:rFonts w:ascii="Arial" w:hAnsi="Arial" w:cs="Arial"/>
                <w:color w:val="000000"/>
                <w:spacing w:val="-2"/>
              </w:rPr>
            </w:pPr>
          </w:p>
          <w:p>
            <w:pPr>
              <w:pStyle w:val="ListParagraph"/>
              <w:numPr>
                <w:ilvl w:val="0"/>
                <w:numId w:val="23"/>
              </w:numPr>
              <w:tabs>
                <w:tab w:val="left" w:pos="533"/>
                <w:tab w:val="right" w:pos="9360"/>
              </w:tabs>
              <w:suppressAutoHyphens/>
              <w:spacing w:after="0" w:line="240" w:lineRule="auto"/>
              <w:ind w:left="519" w:hanging="274"/>
              <w:rPr>
                <w:rFonts w:ascii="Arial" w:hAnsi="Arial" w:cs="Arial"/>
                <w:color w:val="000000"/>
                <w:spacing w:val="-2"/>
              </w:rPr>
            </w:pPr>
            <w:r>
              <w:rPr>
                <w:rFonts w:ascii="Arial" w:hAnsi="Arial" w:cs="Arial"/>
                <w:color w:val="000000"/>
                <w:spacing w:val="-2"/>
              </w:rPr>
              <w:t xml:space="preserve">not </w:t>
            </w:r>
            <w:r>
              <w:rPr>
                <w:rFonts w:ascii="Arial" w:hAnsi="Arial" w:cs="Arial"/>
                <w:color w:val="000000"/>
                <w:spacing w:val="-2"/>
                <w:u w:val="single"/>
              </w:rPr>
              <w:t>possess or</w:t>
            </w:r>
            <w:r>
              <w:rPr>
                <w:rFonts w:ascii="Arial" w:hAnsi="Arial" w:cs="Arial"/>
                <w:color w:val="000000"/>
                <w:spacing w:val="-2"/>
              </w:rPr>
              <w:t xml:space="preserve"> obtain </w:t>
            </w:r>
            <w:r>
              <w:rPr>
                <w:rFonts w:ascii="Arial" w:hAnsi="Arial" w:cs="Arial"/>
                <w:strike/>
                <w:color w:val="000000"/>
                <w:spacing w:val="-2"/>
              </w:rPr>
              <w:t xml:space="preserve">or possess </w:t>
            </w:r>
            <w:r>
              <w:rPr>
                <w:rFonts w:ascii="Arial" w:hAnsi="Arial" w:cs="Arial"/>
                <w:color w:val="000000"/>
                <w:spacing w:val="-2"/>
              </w:rPr>
              <w:t xml:space="preserve">any firearms, other dangerous weapons, or concealed pistol license; and  </w:t>
            </w:r>
          </w:p>
          <w:p>
            <w:pPr>
              <w:pStyle w:val="ListParagraph"/>
              <w:numPr>
                <w:ilvl w:val="0"/>
                <w:numId w:val="23"/>
              </w:numPr>
              <w:tabs>
                <w:tab w:val="left" w:pos="533"/>
                <w:tab w:val="right" w:pos="9360"/>
              </w:tabs>
              <w:suppressAutoHyphens/>
              <w:spacing w:after="0" w:line="240" w:lineRule="auto"/>
              <w:ind w:left="515" w:hanging="270"/>
              <w:rPr>
                <w:rFonts w:ascii="Arial" w:hAnsi="Arial" w:cs="Arial"/>
                <w:color w:val="000000"/>
                <w:spacing w:val="-2"/>
              </w:rPr>
            </w:pPr>
            <w:proofErr w:type="gramStart"/>
            <w:r>
              <w:rPr>
                <w:rFonts w:ascii="Arial" w:hAnsi="Arial" w:cs="Arial"/>
                <w:strike/>
                <w:color w:val="000000"/>
                <w:spacing w:val="-2"/>
              </w:rPr>
              <w:t>turn</w:t>
            </w:r>
            <w:proofErr w:type="gramEnd"/>
            <w:r>
              <w:rPr>
                <w:rFonts w:ascii="Arial" w:hAnsi="Arial" w:cs="Arial"/>
                <w:strike/>
                <w:color w:val="000000"/>
                <w:spacing w:val="-2"/>
              </w:rPr>
              <w:t xml:space="preserve"> in any firearms, other dangerous weapons, and concealed pistol license as stated in  </w:t>
            </w:r>
            <w:r>
              <w:rPr>
                <w:rFonts w:ascii="Arial" w:hAnsi="Arial" w:cs="Arial"/>
                <w:color w:val="000000"/>
                <w:spacing w:val="-2"/>
                <w:u w:val="single"/>
              </w:rPr>
              <w:t>comply with the</w:t>
            </w:r>
            <w:r>
              <w:rPr>
                <w:rFonts w:ascii="Arial" w:hAnsi="Arial" w:cs="Arial"/>
                <w:color w:val="000000"/>
                <w:spacing w:val="-2"/>
              </w:rPr>
              <w:t xml:space="preserve"> </w:t>
            </w:r>
            <w:r>
              <w:rPr>
                <w:rFonts w:ascii="Arial" w:hAnsi="Arial" w:cs="Arial"/>
                <w:b/>
                <w:i/>
                <w:color w:val="000000"/>
                <w:spacing w:val="-2"/>
              </w:rPr>
              <w:t>Order to Surrender Weapons</w:t>
            </w:r>
            <w:r>
              <w:rPr>
                <w:rFonts w:ascii="Arial" w:hAnsi="Arial" w:cs="Arial"/>
                <w:color w:val="000000"/>
                <w:spacing w:val="-2"/>
              </w:rPr>
              <w:t xml:space="preserve"> filed separately.”</w:t>
            </w:r>
          </w:p>
          <w:p>
            <w:pPr>
              <w:spacing w:after="0" w:line="240" w:lineRule="auto"/>
              <w:rPr>
                <w:rFonts w:ascii="Arial" w:hAnsi="Arial" w:cs="Arial"/>
              </w:rPr>
            </w:pPr>
          </w:p>
          <w:p>
            <w:pPr>
              <w:spacing w:after="0" w:line="240" w:lineRule="auto"/>
              <w:rPr>
                <w:rFonts w:ascii="Arial" w:hAnsi="Arial" w:cs="Arial"/>
              </w:rPr>
            </w:pPr>
            <w:r>
              <w:rPr>
                <w:rFonts w:ascii="Arial" w:hAnsi="Arial" w:cs="Arial"/>
              </w:rPr>
              <w:t>Make the following changes in the “Findings” section: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Change the check box option that begins with “must” as follows:</w:t>
            </w:r>
          </w:p>
          <w:p>
            <w:pPr>
              <w:spacing w:after="0" w:line="240" w:lineRule="auto"/>
              <w:rPr>
                <w:rFonts w:ascii="Arial" w:hAnsi="Arial" w:cs="Arial"/>
              </w:rPr>
            </w:pPr>
          </w:p>
          <w:p>
            <w:pPr>
              <w:tabs>
                <w:tab w:val="left" w:pos="695"/>
                <w:tab w:val="right" w:pos="9360"/>
              </w:tabs>
              <w:suppressAutoHyphens/>
              <w:spacing w:after="0" w:line="240" w:lineRule="auto"/>
              <w:ind w:left="695" w:hanging="450"/>
              <w:rPr>
                <w:rFonts w:ascii="Arial" w:hAnsi="Arial" w:cs="Arial"/>
                <w:color w:val="000000"/>
                <w:spacing w:val="-2"/>
              </w:rPr>
            </w:pPr>
            <w:r>
              <w:rPr>
                <w:rFonts w:ascii="Arial" w:hAnsi="Arial" w:cs="Arial"/>
                <w:color w:val="000000"/>
              </w:rPr>
              <w:t>“</w:t>
            </w:r>
            <w:r>
              <w:rPr>
                <w:rFonts w:ascii="Arial" w:hAnsi="Arial" w:cs="Arial"/>
                <w:color w:val="000000"/>
              </w:rPr>
              <w:fldChar w:fldCharType="begin">
                <w:ffData>
                  <w:name w:val="Check7"/>
                  <w:enabled/>
                  <w:calcOnExit w:val="0"/>
                  <w:checkBox>
                    <w:size w:val="16"/>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r>
              <w:rPr>
                <w:rFonts w:ascii="Arial" w:hAnsi="Arial" w:cs="Arial"/>
                <w:b/>
                <w:color w:val="000000"/>
                <w:spacing w:val="-2"/>
              </w:rPr>
              <w:t>must</w:t>
            </w:r>
            <w:r>
              <w:rPr>
                <w:rFonts w:ascii="Arial" w:hAnsi="Arial" w:cs="Arial"/>
                <w:color w:val="000000"/>
                <w:spacing w:val="-2"/>
              </w:rPr>
              <w:t xml:space="preserve"> issue the </w:t>
            </w:r>
            <w:r>
              <w:rPr>
                <w:rFonts w:ascii="Arial" w:hAnsi="Arial" w:cs="Arial"/>
                <w:color w:val="000000"/>
                <w:spacing w:val="-2"/>
                <w:u w:val="single"/>
              </w:rPr>
              <w:t>orders referred to above</w:t>
            </w:r>
            <w:r>
              <w:rPr>
                <w:rFonts w:ascii="Arial" w:hAnsi="Arial" w:cs="Arial"/>
                <w:color w:val="000000"/>
                <w:spacing w:val="-2"/>
              </w:rPr>
              <w:t xml:space="preserve"> </w:t>
            </w:r>
            <w:proofErr w:type="spellStart"/>
            <w:r>
              <w:rPr>
                <w:rFonts w:ascii="Arial" w:hAnsi="Arial" w:cs="Arial"/>
                <w:strike/>
                <w:color w:val="000000"/>
                <w:spacing w:val="-2"/>
              </w:rPr>
              <w:t>above</w:t>
            </w:r>
            <w:proofErr w:type="spellEnd"/>
            <w:r>
              <w:rPr>
                <w:rFonts w:ascii="Arial" w:hAnsi="Arial" w:cs="Arial"/>
                <w:strike/>
                <w:color w:val="000000"/>
                <w:spacing w:val="-2"/>
              </w:rPr>
              <w:t xml:space="preserve"> orders and an </w:t>
            </w:r>
            <w:r>
              <w:rPr>
                <w:rFonts w:ascii="Arial" w:hAnsi="Arial" w:cs="Arial"/>
                <w:b/>
                <w:i/>
                <w:strike/>
                <w:color w:val="000000"/>
                <w:spacing w:val="-2"/>
              </w:rPr>
              <w:t>Order to Surrender Weapons</w:t>
            </w:r>
            <w:r>
              <w:rPr>
                <w:rFonts w:ascii="Arial" w:hAnsi="Arial" w:cs="Arial"/>
                <w:strike/>
                <w:color w:val="000000"/>
                <w:spacing w:val="-2"/>
              </w:rPr>
              <w:t xml:space="preserve"> </w:t>
            </w:r>
            <w:r>
              <w:rPr>
                <w:rFonts w:ascii="Arial" w:hAnsi="Arial" w:cs="Arial"/>
                <w:color w:val="000000"/>
                <w:spacing w:val="-2"/>
              </w:rPr>
              <w:t xml:space="preserve">because:” </w:t>
            </w:r>
          </w:p>
          <w:p>
            <w:pPr>
              <w:tabs>
                <w:tab w:val="left" w:pos="695"/>
                <w:tab w:val="right" w:pos="9360"/>
              </w:tabs>
              <w:suppressAutoHyphens/>
              <w:spacing w:after="0" w:line="240" w:lineRule="auto"/>
              <w:ind w:left="695" w:hanging="450"/>
              <w:rPr>
                <w:rFonts w:ascii="Arial" w:hAnsi="Arial" w:cs="Arial"/>
                <w:color w:val="000000"/>
                <w:spacing w:val="-2"/>
              </w:rPr>
            </w:pPr>
          </w:p>
          <w:p>
            <w:pPr>
              <w:tabs>
                <w:tab w:val="left" w:pos="695"/>
                <w:tab w:val="right" w:pos="9360"/>
              </w:tabs>
              <w:suppressAutoHyphens/>
              <w:spacing w:after="0" w:line="240" w:lineRule="auto"/>
              <w:ind w:left="450" w:hanging="450"/>
              <w:rPr>
                <w:rFonts w:ascii="Arial" w:hAnsi="Arial" w:cs="Arial"/>
                <w:color w:val="000000"/>
                <w:spacing w:val="-2"/>
              </w:rPr>
            </w:pPr>
            <w:r>
              <w:rPr>
                <w:rFonts w:ascii="Arial" w:hAnsi="Arial" w:cs="Arial"/>
                <w:color w:val="000000"/>
                <w:spacing w:val="-2"/>
              </w:rPr>
              <w:t>Change the check box option that begins with “may” as follows:</w:t>
            </w:r>
          </w:p>
          <w:p>
            <w:pPr>
              <w:tabs>
                <w:tab w:val="left" w:pos="695"/>
                <w:tab w:val="right" w:pos="9360"/>
              </w:tabs>
              <w:suppressAutoHyphens/>
              <w:spacing w:after="0" w:line="240" w:lineRule="auto"/>
              <w:ind w:left="450" w:hanging="450"/>
              <w:rPr>
                <w:rFonts w:ascii="Arial" w:hAnsi="Arial" w:cs="Arial"/>
                <w:color w:val="000000"/>
                <w:spacing w:val="-2"/>
              </w:rPr>
            </w:pPr>
          </w:p>
          <w:p>
            <w:pPr>
              <w:spacing w:after="0" w:line="240" w:lineRule="auto"/>
              <w:ind w:left="695" w:hanging="450"/>
              <w:rPr>
                <w:rFonts w:ascii="Arial" w:hAnsi="Arial" w:cs="Arial"/>
                <w:color w:val="000000"/>
                <w:spacing w:val="-2"/>
              </w:rPr>
            </w:pPr>
            <w:r>
              <w:rPr>
                <w:rFonts w:ascii="Arial" w:hAnsi="Arial" w:cs="Arial"/>
                <w:color w:val="000000"/>
              </w:rPr>
              <w:t>“</w:t>
            </w:r>
            <w:r>
              <w:rPr>
                <w:rFonts w:ascii="Arial" w:hAnsi="Arial" w:cs="Arial"/>
                <w:color w:val="000000"/>
              </w:rPr>
              <w:fldChar w:fldCharType="begin">
                <w:ffData>
                  <w:name w:val=""/>
                  <w:enabled/>
                  <w:calcOnExit w:val="0"/>
                  <w:checkBox>
                    <w:size w:val="16"/>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proofErr w:type="gramStart"/>
            <w:r>
              <w:rPr>
                <w:rFonts w:ascii="Arial" w:hAnsi="Arial" w:cs="Arial"/>
                <w:b/>
                <w:color w:val="000000"/>
                <w:spacing w:val="-2"/>
              </w:rPr>
              <w:t>may</w:t>
            </w:r>
            <w:proofErr w:type="gramEnd"/>
            <w:r>
              <w:rPr>
                <w:rFonts w:ascii="Arial" w:hAnsi="Arial" w:cs="Arial"/>
                <w:color w:val="000000"/>
                <w:spacing w:val="-2"/>
              </w:rPr>
              <w:t xml:space="preserve"> issue the </w:t>
            </w:r>
            <w:r>
              <w:rPr>
                <w:rFonts w:ascii="Arial" w:hAnsi="Arial" w:cs="Arial"/>
                <w:color w:val="000000"/>
                <w:spacing w:val="-2"/>
                <w:u w:val="single"/>
              </w:rPr>
              <w:t>orders referred to above</w:t>
            </w:r>
            <w:r>
              <w:rPr>
                <w:rFonts w:ascii="Arial" w:hAnsi="Arial" w:cs="Arial"/>
                <w:color w:val="000000"/>
                <w:spacing w:val="-2"/>
              </w:rPr>
              <w:t xml:space="preserve"> </w:t>
            </w:r>
            <w:proofErr w:type="spellStart"/>
            <w:r>
              <w:rPr>
                <w:rFonts w:ascii="Arial" w:hAnsi="Arial" w:cs="Arial"/>
                <w:strike/>
                <w:color w:val="000000"/>
                <w:spacing w:val="-2"/>
              </w:rPr>
              <w:t>above</w:t>
            </w:r>
            <w:proofErr w:type="spellEnd"/>
            <w:r>
              <w:rPr>
                <w:rFonts w:ascii="Arial" w:hAnsi="Arial" w:cs="Arial"/>
                <w:strike/>
                <w:color w:val="000000"/>
                <w:spacing w:val="-2"/>
              </w:rPr>
              <w:t xml:space="preserve"> orders and an </w:t>
            </w:r>
            <w:r>
              <w:rPr>
                <w:rFonts w:ascii="Arial" w:hAnsi="Arial" w:cs="Arial"/>
                <w:b/>
                <w:i/>
                <w:strike/>
                <w:color w:val="000000"/>
                <w:spacing w:val="-2"/>
              </w:rPr>
              <w:t>Order to Surrender Weapons</w:t>
            </w:r>
            <w:r>
              <w:rPr>
                <w:rFonts w:ascii="Arial" w:hAnsi="Arial" w:cs="Arial"/>
                <w:strike/>
                <w:color w:val="000000"/>
                <w:spacing w:val="-2"/>
              </w:rPr>
              <w:t xml:space="preserve"> </w:t>
            </w:r>
            <w:r>
              <w:rPr>
                <w:rFonts w:ascii="Arial" w:hAnsi="Arial" w:cs="Arial"/>
                <w:color w:val="000000"/>
                <w:spacing w:val="-2"/>
              </w:rPr>
              <w:t>because the court finds by a preponderance of evidence, the Respondent:</w:t>
            </w:r>
            <w:r>
              <w:rPr>
                <w:rFonts w:ascii="Arial" w:hAnsi="Arial" w:cs="Arial"/>
                <w:i/>
                <w:color w:val="000000"/>
                <w:spacing w:val="-2"/>
              </w:rPr>
              <w:t>…</w:t>
            </w:r>
            <w:r>
              <w:rPr>
                <w:rFonts w:ascii="Arial" w:hAnsi="Arial" w:cs="Arial"/>
                <w:color w:val="000000"/>
                <w:spacing w:val="-2"/>
              </w:rPr>
              <w:t>”</w:t>
            </w:r>
          </w:p>
          <w:p>
            <w:pPr>
              <w:spacing w:after="0" w:line="240" w:lineRule="auto"/>
              <w:rPr>
                <w:rFonts w:ascii="Arial" w:eastAsia="Times New Roman" w:hAnsi="Arial" w:cs="Arial"/>
              </w:rPr>
            </w:pPr>
          </w:p>
        </w:tc>
      </w:tr>
    </w:tbl>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Arial" w:hAnsi="Arial" w:cs="Arial"/>
      </w:rPr>
    </w:pPr>
    <w:r>
      <w:rPr>
        <w:rFonts w:ascii="Arial" w:hAnsi="Arial" w:cs="Arial"/>
      </w:rPr>
      <w:t>Summary of Changes</w:t>
    </w:r>
  </w:p>
  <w:p>
    <w:pPr>
      <w:pStyle w:val="Header"/>
      <w:rPr>
        <w:rFonts w:ascii="Arial" w:hAnsi="Arial" w:cs="Arial"/>
      </w:rPr>
    </w:pPr>
    <w:r>
      <w:rPr>
        <w:rFonts w:ascii="Arial" w:hAnsi="Arial" w:cs="Arial"/>
      </w:rPr>
      <w:t>January 31, 2018</w:t>
    </w:r>
  </w:p>
  <w:p>
    <w:pPr>
      <w:pStyle w:val="Header"/>
      <w:rPr>
        <w:rFonts w:ascii="Arial" w:hAnsi="Arial" w:cs="Arial"/>
        <w:bCs/>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Pr>
        <w:rFonts w:ascii="Arial" w:hAnsi="Arial" w:cs="Arial"/>
        <w:bCs/>
        <w:noProof/>
      </w:rPr>
      <w:t>3</w:t>
    </w:r>
    <w:r>
      <w:rPr>
        <w:rFonts w:ascii="Arial" w:hAnsi="Arial" w:cs="Arial"/>
        <w:bCs/>
      </w:rPr>
      <w:fldChar w:fldCharType="end"/>
    </w:r>
  </w:p>
  <w:p>
    <w:pPr>
      <w:pStyle w:val="Header"/>
      <w:rPr>
        <w:rFonts w:ascii="Arial" w:hAnsi="Arial" w:cs="Arial"/>
        <w:bCs/>
      </w:rPr>
    </w:pPr>
  </w:p>
  <w:p>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C4716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4F00CA5"/>
    <w:multiLevelType w:val="hybridMultilevel"/>
    <w:tmpl w:val="F07C7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0DE1"/>
    <w:multiLevelType w:val="hybridMultilevel"/>
    <w:tmpl w:val="F0D244C0"/>
    <w:lvl w:ilvl="0" w:tplc="56EAA1A0">
      <w:start w:val="7"/>
      <w:numFmt w:val="decimal"/>
      <w:pStyle w:val="WAItem"/>
      <w:lvlText w:val="%1."/>
      <w:lvlJc w:val="left"/>
      <w:pPr>
        <w:ind w:left="45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EE350C"/>
    <w:multiLevelType w:val="hybridMultilevel"/>
    <w:tmpl w:val="96ACF1A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FE42FD0"/>
    <w:multiLevelType w:val="hybridMultilevel"/>
    <w:tmpl w:val="E5F8F8D4"/>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7"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B6152"/>
    <w:multiLevelType w:val="hybridMultilevel"/>
    <w:tmpl w:val="9BD25F06"/>
    <w:lvl w:ilvl="0" w:tplc="F920D308">
      <w:start w:val="1"/>
      <w:numFmt w:val="decimal"/>
      <w:lvlText w:val="%1."/>
      <w:lvlJc w:val="left"/>
      <w:pPr>
        <w:ind w:left="900" w:hanging="54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1"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2" w15:restartNumberingAfterBreak="0">
    <w:nsid w:val="301A03EC"/>
    <w:multiLevelType w:val="hybridMultilevel"/>
    <w:tmpl w:val="589CB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05571B4"/>
    <w:multiLevelType w:val="hybridMultilevel"/>
    <w:tmpl w:val="624ED07A"/>
    <w:lvl w:ilvl="0" w:tplc="7362FAEA">
      <w:start w:val="1"/>
      <w:numFmt w:val="decimal"/>
      <w:lvlText w:val="%1."/>
      <w:lvlJc w:val="left"/>
      <w:pPr>
        <w:ind w:left="3420" w:hanging="540"/>
      </w:pPr>
      <w:rPr>
        <w:rFonts w:ascii="Arial Black" w:hAnsi="Arial Black"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343F2"/>
    <w:multiLevelType w:val="hybridMultilevel"/>
    <w:tmpl w:val="57304D5A"/>
    <w:lvl w:ilvl="0" w:tplc="04090005">
      <w:start w:val="1"/>
      <w:numFmt w:val="bullet"/>
      <w:lvlText w:val=""/>
      <w:lvlJc w:val="left"/>
      <w:pPr>
        <w:ind w:left="1062" w:hanging="360"/>
      </w:pPr>
      <w:rPr>
        <w:rFonts w:ascii="Wingdings" w:hAnsi="Wingdings"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7" w15:restartNumberingAfterBreak="0">
    <w:nsid w:val="46BB47C4"/>
    <w:multiLevelType w:val="hybridMultilevel"/>
    <w:tmpl w:val="675CB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A5892"/>
    <w:multiLevelType w:val="hybridMultilevel"/>
    <w:tmpl w:val="3E3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21" w15:restartNumberingAfterBreak="0">
    <w:nsid w:val="5DD74BEE"/>
    <w:multiLevelType w:val="hybridMultilevel"/>
    <w:tmpl w:val="41B05C7E"/>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6ACC60E0"/>
    <w:multiLevelType w:val="hybridMultilevel"/>
    <w:tmpl w:val="69EABC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lvlOverride w:ilvl="0">
      <w:startOverride w:val="10"/>
    </w:lvlOverride>
  </w:num>
  <w:num w:numId="9">
    <w:abstractNumId w:val="4"/>
    <w:lvlOverride w:ilvl="0">
      <w:startOverride w:val="6"/>
    </w:lvlOverride>
  </w:num>
  <w:num w:numId="10">
    <w:abstractNumId w:val="4"/>
    <w:lvlOverride w:ilvl="0">
      <w:startOverride w:val="10"/>
    </w:lvlOverride>
  </w:num>
  <w:num w:numId="11">
    <w:abstractNumId w:val="4"/>
  </w:num>
  <w:num w:numId="12">
    <w:abstractNumId w:val="4"/>
    <w:lvlOverride w:ilvl="0">
      <w:startOverride w:val="10"/>
    </w:lvlOverride>
  </w:num>
  <w:num w:numId="13">
    <w:abstractNumId w:val="4"/>
    <w:lvlOverride w:ilvl="0">
      <w:startOverride w:val="6"/>
    </w:lvlOverride>
  </w:num>
  <w:num w:numId="14">
    <w:abstractNumId w:val="27"/>
  </w:num>
  <w:num w:numId="15">
    <w:abstractNumId w:val="10"/>
  </w:num>
  <w:num w:numId="16">
    <w:abstractNumId w:val="11"/>
  </w:num>
  <w:num w:numId="17">
    <w:abstractNumId w:val="20"/>
  </w:num>
  <w:num w:numId="18">
    <w:abstractNumId w:val="23"/>
  </w:num>
  <w:num w:numId="19">
    <w:abstractNumId w:val="3"/>
  </w:num>
  <w:num w:numId="20">
    <w:abstractNumId w:val="7"/>
  </w:num>
  <w:num w:numId="21">
    <w:abstractNumId w:val="2"/>
  </w:num>
  <w:num w:numId="22">
    <w:abstractNumId w:val="16"/>
  </w:num>
  <w:num w:numId="23">
    <w:abstractNumId w:val="25"/>
  </w:num>
  <w:num w:numId="24">
    <w:abstractNumId w:val="9"/>
  </w:num>
  <w:num w:numId="25">
    <w:abstractNumId w:val="14"/>
  </w:num>
  <w:num w:numId="26">
    <w:abstractNumId w:val="4"/>
  </w:num>
  <w:num w:numId="27">
    <w:abstractNumId w:val="19"/>
  </w:num>
  <w:num w:numId="28">
    <w:abstractNumId w:val="22"/>
  </w:num>
  <w:num w:numId="29">
    <w:abstractNumId w:val="21"/>
  </w:num>
  <w:num w:numId="30">
    <w:abstractNumId w:val="8"/>
  </w:num>
  <w:num w:numId="31">
    <w:abstractNumId w:val="0"/>
  </w:num>
  <w:num w:numId="32">
    <w:abstractNumId w:val="15"/>
  </w:num>
  <w:num w:numId="33">
    <w:abstractNumId w:val="24"/>
  </w:num>
  <w:num w:numId="34">
    <w:abstractNumId w:val="13"/>
  </w:num>
  <w:num w:numId="35">
    <w:abstractNumId w:val="18"/>
  </w:num>
  <w:num w:numId="36">
    <w:abstractNumId w:val="6"/>
  </w:num>
  <w:num w:numId="37">
    <w:abstractNumId w:val="12"/>
  </w:num>
  <w:num w:numId="38">
    <w:abstractNumId w:val="17"/>
  </w:num>
  <w:num w:numId="39">
    <w:abstractNumId w:val="26"/>
  </w:num>
  <w:num w:numId="40">
    <w:abstractNumId w:val="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verflowPunct w:val="0"/>
      <w:autoSpaceDE w:val="0"/>
      <w:autoSpaceDN w:val="0"/>
      <w:adjustRightInd w:val="0"/>
      <w:spacing w:before="240" w:after="60" w:line="240" w:lineRule="auto"/>
      <w:textAlignment w:val="baseline"/>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line="240" w:lineRule="auto"/>
      <w:textAlignment w:val="baseline"/>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qFormat/>
    <w:pPr>
      <w:keepNext/>
      <w:numPr>
        <w:numId w:val="1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uiPriority w:val="99"/>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5"/>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uiPriority w:val="99"/>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character" w:styleId="CommentReference">
    <w:name w:val="annotation reference"/>
    <w:uiPriority w:val="99"/>
    <w:rPr>
      <w:rFonts w:cs="Times New Roman"/>
      <w:sz w:val="18"/>
    </w:rPr>
  </w:style>
  <w:style w:type="paragraph" w:customStyle="1" w:styleId="WAsubcheckbox">
    <w:name w:val="WA sub check box"/>
    <w:basedOn w:val="Normal"/>
    <w:link w:val="WAsubcheckboxChar"/>
    <w:uiPriority w:val="99"/>
    <w:qFormat/>
    <w:pPr>
      <w:tabs>
        <w:tab w:val="left" w:pos="900"/>
        <w:tab w:val="left" w:pos="9360"/>
      </w:tabs>
      <w:suppressAutoHyphens/>
      <w:spacing w:before="80" w:after="0" w:line="240" w:lineRule="auto"/>
      <w:ind w:left="900" w:hanging="360"/>
    </w:pPr>
    <w:rPr>
      <w:rFonts w:ascii="Arial" w:eastAsia="MS Mincho" w:hAnsi="Arial" w:cs="Arial"/>
      <w:spacing w:val="-2"/>
      <w:lang w:eastAsia="ja-JP"/>
    </w:rPr>
  </w:style>
  <w:style w:type="character" w:customStyle="1" w:styleId="WAsubcheckboxChar">
    <w:name w:val="WA sub check box Char"/>
    <w:link w:val="WAsubcheckbox"/>
    <w:uiPriority w:val="99"/>
    <w:locked/>
    <w:rPr>
      <w:rFonts w:ascii="Arial" w:eastAsia="MS Mincho" w:hAnsi="Arial" w:cs="Arial"/>
      <w:spacing w:val="-2"/>
      <w:lang w:eastAsia="ja-JP"/>
    </w:rPr>
  </w:style>
  <w:style w:type="paragraph" w:customStyle="1" w:styleId="WA1stlineaftersub">
    <w:name w:val="WA 1st line after sub"/>
    <w:basedOn w:val="WABody6above"/>
    <w:qFormat/>
    <w:pPr>
      <w:tabs>
        <w:tab w:val="clear" w:pos="1260"/>
      </w:tabs>
      <w:spacing w:before="80"/>
      <w:ind w:left="900" w:hanging="353"/>
    </w:pPr>
  </w:style>
  <w:style w:type="paragraph" w:customStyle="1" w:styleId="PlaceholderText1">
    <w:name w:val="Placeholder Text1"/>
    <w:basedOn w:val="Normal"/>
    <w:pPr>
      <w:keepNext/>
      <w:numPr>
        <w:numId w:val="31"/>
      </w:numPr>
      <w:spacing w:after="0" w:line="240" w:lineRule="auto"/>
      <w:contextualSpacing/>
      <w:outlineLvl w:val="0"/>
    </w:pPr>
    <w:rPr>
      <w:rFonts w:ascii="Verdana" w:eastAsia="MS Gothic" w:hAnsi="Verdana" w:cs="Times New Roman"/>
      <w:sz w:val="24"/>
      <w:szCs w:val="24"/>
      <w:lang w:eastAsia="ja-JP"/>
    </w:rPr>
  </w:style>
  <w:style w:type="paragraph" w:customStyle="1" w:styleId="MediumGrid21">
    <w:name w:val="Medium Grid 21"/>
    <w:basedOn w:val="Normal"/>
    <w:qFormat/>
    <w:pPr>
      <w:keepNext/>
      <w:numPr>
        <w:ilvl w:val="1"/>
        <w:numId w:val="31"/>
      </w:numPr>
      <w:spacing w:after="0" w:line="240" w:lineRule="auto"/>
      <w:contextualSpacing/>
      <w:outlineLvl w:val="1"/>
    </w:pPr>
    <w:rPr>
      <w:rFonts w:ascii="Verdana" w:eastAsia="MS Gothic" w:hAnsi="Verdana" w:cs="Times New Roman"/>
      <w:sz w:val="24"/>
      <w:szCs w:val="24"/>
      <w:lang w:eastAsia="ja-JP"/>
    </w:rPr>
  </w:style>
  <w:style w:type="paragraph" w:customStyle="1" w:styleId="LightShading1">
    <w:name w:val="Light Shading1"/>
    <w:basedOn w:val="Normal"/>
    <w:pPr>
      <w:keepNext/>
      <w:numPr>
        <w:ilvl w:val="2"/>
        <w:numId w:val="31"/>
      </w:numPr>
      <w:spacing w:after="0" w:line="240" w:lineRule="auto"/>
      <w:contextualSpacing/>
      <w:outlineLvl w:val="2"/>
    </w:pPr>
    <w:rPr>
      <w:rFonts w:ascii="Verdana" w:eastAsia="MS Gothic" w:hAnsi="Verdana" w:cs="Times New Roman"/>
      <w:sz w:val="24"/>
      <w:szCs w:val="24"/>
      <w:lang w:eastAsia="ja-JP"/>
    </w:rPr>
  </w:style>
  <w:style w:type="paragraph" w:customStyle="1" w:styleId="LightList1">
    <w:name w:val="Light List1"/>
    <w:basedOn w:val="Normal"/>
    <w:pPr>
      <w:keepNext/>
      <w:numPr>
        <w:ilvl w:val="3"/>
        <w:numId w:val="31"/>
      </w:numPr>
      <w:spacing w:after="0" w:line="240" w:lineRule="auto"/>
      <w:contextualSpacing/>
      <w:outlineLvl w:val="3"/>
    </w:pPr>
    <w:rPr>
      <w:rFonts w:ascii="Verdana" w:eastAsia="MS Gothic" w:hAnsi="Verdana" w:cs="Times New Roman"/>
      <w:sz w:val="24"/>
      <w:szCs w:val="24"/>
      <w:lang w:eastAsia="ja-JP"/>
    </w:rPr>
  </w:style>
  <w:style w:type="paragraph" w:customStyle="1" w:styleId="LightGrid1">
    <w:name w:val="Light Grid1"/>
    <w:basedOn w:val="Normal"/>
    <w:pPr>
      <w:keepNext/>
      <w:numPr>
        <w:ilvl w:val="4"/>
        <w:numId w:val="31"/>
      </w:numPr>
      <w:spacing w:after="0" w:line="240" w:lineRule="auto"/>
      <w:contextualSpacing/>
      <w:outlineLvl w:val="4"/>
    </w:pPr>
    <w:rPr>
      <w:rFonts w:ascii="Verdana" w:eastAsia="MS Gothic" w:hAnsi="Verdana" w:cs="Times New Roman"/>
      <w:sz w:val="24"/>
      <w:szCs w:val="24"/>
      <w:lang w:eastAsia="ja-JP"/>
    </w:rPr>
  </w:style>
  <w:style w:type="paragraph" w:customStyle="1" w:styleId="MediumShading11">
    <w:name w:val="Medium Shading 11"/>
    <w:basedOn w:val="Normal"/>
    <w:pPr>
      <w:keepNext/>
      <w:numPr>
        <w:ilvl w:val="5"/>
        <w:numId w:val="31"/>
      </w:numPr>
      <w:spacing w:after="0" w:line="240" w:lineRule="auto"/>
      <w:contextualSpacing/>
      <w:outlineLvl w:val="5"/>
    </w:pPr>
    <w:rPr>
      <w:rFonts w:ascii="Verdana" w:eastAsia="MS Gothic" w:hAnsi="Verdana" w:cs="Times New Roman"/>
      <w:sz w:val="24"/>
      <w:szCs w:val="24"/>
      <w:lang w:eastAsia="ja-JP"/>
    </w:rPr>
  </w:style>
  <w:style w:type="paragraph" w:customStyle="1" w:styleId="MediumShading21">
    <w:name w:val="Medium Shading 21"/>
    <w:basedOn w:val="Normal"/>
    <w:pPr>
      <w:keepNext/>
      <w:numPr>
        <w:ilvl w:val="6"/>
        <w:numId w:val="31"/>
      </w:numPr>
      <w:spacing w:after="0" w:line="240" w:lineRule="auto"/>
      <w:contextualSpacing/>
      <w:outlineLvl w:val="6"/>
    </w:pPr>
    <w:rPr>
      <w:rFonts w:ascii="Verdana" w:eastAsia="MS Gothic" w:hAnsi="Verdana" w:cs="Times New Roman"/>
      <w:sz w:val="24"/>
      <w:szCs w:val="24"/>
      <w:lang w:eastAsia="ja-JP"/>
    </w:rPr>
  </w:style>
  <w:style w:type="paragraph" w:customStyle="1" w:styleId="MediumList11">
    <w:name w:val="Medium List 11"/>
    <w:basedOn w:val="Normal"/>
    <w:pPr>
      <w:keepNext/>
      <w:numPr>
        <w:ilvl w:val="7"/>
        <w:numId w:val="31"/>
      </w:numPr>
      <w:spacing w:after="0" w:line="240" w:lineRule="auto"/>
      <w:contextualSpacing/>
      <w:outlineLvl w:val="7"/>
    </w:pPr>
    <w:rPr>
      <w:rFonts w:ascii="Verdana" w:eastAsia="MS Gothic" w:hAnsi="Verdana" w:cs="Times New Roman"/>
      <w:sz w:val="24"/>
      <w:szCs w:val="24"/>
      <w:lang w:eastAsia="ja-JP"/>
    </w:rPr>
  </w:style>
  <w:style w:type="paragraph" w:customStyle="1" w:styleId="MediumList21">
    <w:name w:val="Medium List 21"/>
    <w:basedOn w:val="Normal"/>
    <w:pPr>
      <w:keepNext/>
      <w:numPr>
        <w:ilvl w:val="8"/>
        <w:numId w:val="31"/>
      </w:numPr>
      <w:spacing w:after="0" w:line="240" w:lineRule="auto"/>
      <w:contextualSpacing/>
      <w:outlineLvl w:val="8"/>
    </w:pPr>
    <w:rPr>
      <w:rFonts w:ascii="Verdana" w:eastAsia="MS Gothic" w:hAnsi="Verdana" w:cs="Times New Roman"/>
      <w:sz w:val="24"/>
      <w:szCs w:val="24"/>
      <w:lang w:eastAsia="ja-JP"/>
    </w:rPr>
  </w:style>
  <w:style w:type="paragraph" w:customStyle="1" w:styleId="WABody6above38flush">
    <w:name w:val="WA Body 6 above .38 flush"/>
    <w:basedOn w:val="WABody6above"/>
    <w:qFormat/>
    <w:pPr>
      <w:tabs>
        <w:tab w:val="clear" w:pos="1260"/>
      </w:tabs>
      <w:ind w:left="547" w:firstLine="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semiHidden/>
    <w:rPr>
      <w:rFonts w:ascii="Calibri Light" w:eastAsia="Times New Roman" w:hAnsi="Calibri Light" w:cs="Times New Roman"/>
      <w:b/>
      <w:bCs/>
      <w:i/>
      <w:iCs/>
      <w:sz w:val="28"/>
      <w:szCs w:val="28"/>
    </w:rPr>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rPr>
  </w:style>
  <w:style w:type="paragraph" w:styleId="BodyText">
    <w:name w:val="Body Text"/>
    <w:basedOn w:val="Normal"/>
    <w:link w:val="BodyTextChar"/>
    <w:pPr>
      <w:overflowPunct w:val="0"/>
      <w:autoSpaceDE w:val="0"/>
      <w:autoSpaceDN w:val="0"/>
      <w:adjustRightInd w:val="0"/>
      <w:spacing w:after="120" w:line="240" w:lineRule="auto"/>
      <w:textAlignment w:val="baseline"/>
    </w:pPr>
    <w:rPr>
      <w:rFonts w:ascii="CG Times" w:eastAsia="Times New Roman" w:hAnsi="CG Times" w:cs="Times New Roman"/>
      <w:sz w:val="24"/>
      <w:szCs w:val="20"/>
    </w:rPr>
  </w:style>
  <w:style w:type="character" w:customStyle="1" w:styleId="BodyTextChar">
    <w:name w:val="Body Text Char"/>
    <w:basedOn w:val="DefaultParagraphFont"/>
    <w:link w:val="BodyText"/>
    <w:rPr>
      <w:rFonts w:ascii="CG Times" w:eastAsia="Times New Roman" w:hAnsi="CG Times" w:cs="Times New Roman"/>
      <w:sz w:val="24"/>
      <w:szCs w:val="20"/>
    </w:rPr>
  </w:style>
  <w:style w:type="paragraph" w:styleId="BodyText2">
    <w:name w:val="Body Text 2"/>
    <w:basedOn w:val="Normal"/>
    <w:link w:val="BodyText2Char"/>
    <w:pPr>
      <w:overflowPunct w:val="0"/>
      <w:autoSpaceDE w:val="0"/>
      <w:autoSpaceDN w:val="0"/>
      <w:adjustRightInd w:val="0"/>
      <w:spacing w:after="120" w:line="480" w:lineRule="auto"/>
      <w:textAlignment w:val="baseline"/>
    </w:pPr>
    <w:rPr>
      <w:rFonts w:ascii="CG Times" w:eastAsia="Times New Roman" w:hAnsi="CG Times" w:cs="Times New Roman"/>
      <w:sz w:val="24"/>
      <w:szCs w:val="20"/>
    </w:rPr>
  </w:style>
  <w:style w:type="character" w:customStyle="1" w:styleId="BodyText2Char">
    <w:name w:val="Body Text 2 Char"/>
    <w:basedOn w:val="DefaultParagraphFont"/>
    <w:link w:val="BodyText2"/>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2018-02-03T19:29:00Z</dcterms:created>
  <dcterms:modified xsi:type="dcterms:W3CDTF">2018-02-08T19:52:00Z</dcterms:modified>
</cp:coreProperties>
</file>