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E198F" w14:textId="77777777" w:rsidR="002A77EF" w:rsidRPr="00FA6FD3" w:rsidRDefault="002A77EF" w:rsidP="00FA6FD3">
      <w:pPr>
        <w:pStyle w:val="Heading1"/>
        <w:spacing w:line="276" w:lineRule="auto"/>
        <w:rPr>
          <w:rFonts w:ascii="Arial" w:hAnsi="Arial" w:cs="Arial"/>
          <w:b/>
          <w:smallCaps/>
          <w:color w:val="auto"/>
          <w:sz w:val="28"/>
          <w:szCs w:val="28"/>
        </w:rPr>
      </w:pPr>
      <w:r>
        <w:rPr>
          <w:noProof/>
        </w:rPr>
        <mc:AlternateContent>
          <mc:Choice Requires="wps">
            <w:drawing>
              <wp:anchor distT="0" distB="0" distL="114300" distR="114300" simplePos="0" relativeHeight="251658240" behindDoc="0" locked="0" layoutInCell="1" allowOverlap="1" wp14:anchorId="74AF6286" wp14:editId="0763AE83">
                <wp:simplePos x="0" y="0"/>
                <wp:positionH relativeFrom="margin">
                  <wp:posOffset>-60960</wp:posOffset>
                </wp:positionH>
                <wp:positionV relativeFrom="paragraph">
                  <wp:posOffset>907869</wp:posOffset>
                </wp:positionV>
                <wp:extent cx="6400800" cy="45719"/>
                <wp:effectExtent l="0" t="0" r="19050"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45719"/>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F7841" id="_x0000_t32" coordsize="21600,21600" o:spt="32" o:oned="t" path="m,l21600,21600e" filled="f">
                <v:path arrowok="t" fillok="f" o:connecttype="none"/>
                <o:lock v:ext="edit" shapetype="t"/>
              </v:shapetype>
              <v:shape id="AutoShape 2" o:spid="_x0000_s1026" type="#_x0000_t32" style="position:absolute;margin-left:-4.8pt;margin-top:71.5pt;width:7in;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" strokecolor="#5f497a [2407]">
                <w10:wrap anchorx="margin"/>
              </v:shape>
            </w:pict>
          </mc:Fallback>
        </mc:AlternateContent>
      </w:r>
      <w:r w:rsidR="00E61A3E" w:rsidRPr="00B82C2B">
        <w:rPr>
          <w:noProof/>
        </w:rPr>
        <w:drawing>
          <wp:inline distT="0" distB="0" distL="0" distR="0" wp14:anchorId="162A8693" wp14:editId="7879649B">
            <wp:extent cx="756558" cy="698765"/>
            <wp:effectExtent l="0" t="0" r="5715" b="635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767807" cy="709155"/>
                    </a:xfrm>
                    <a:prstGeom prst="rect">
                      <a:avLst/>
                    </a:prstGeom>
                    <a:noFill/>
                    <a:ln w="9525">
                      <a:noFill/>
                      <a:miter lim="800000"/>
                      <a:headEnd/>
                      <a:tailEnd/>
                    </a:ln>
                  </pic:spPr>
                </pic:pic>
              </a:graphicData>
            </a:graphic>
          </wp:inline>
        </w:drawing>
      </w:r>
      <w:r w:rsidRPr="002A77EF">
        <w:rPr>
          <w:b/>
          <w:color w:val="auto"/>
        </w:rPr>
        <w:t xml:space="preserve"> </w:t>
      </w:r>
      <w:r>
        <w:rPr>
          <w:b/>
          <w:color w:val="auto"/>
        </w:rPr>
        <w:tab/>
      </w:r>
      <w:r w:rsidR="00FA6FD3" w:rsidRPr="00FA6FD3">
        <w:rPr>
          <w:b/>
          <w:color w:val="auto"/>
          <w:sz w:val="28"/>
          <w:szCs w:val="28"/>
        </w:rPr>
        <w:t>Therapeutic Courts and the Pandemic Talking Points</w:t>
      </w:r>
      <w:r w:rsidRPr="00FA6FD3">
        <w:rPr>
          <w:rFonts w:ascii="Arial" w:hAnsi="Arial" w:cs="Arial"/>
          <w:b/>
          <w:smallCaps/>
          <w:color w:val="auto"/>
          <w:sz w:val="28"/>
          <w:szCs w:val="28"/>
        </w:rPr>
        <w:t xml:space="preserve"> </w:t>
      </w:r>
      <w:r w:rsidR="00FA6FD3" w:rsidRPr="00FA6FD3">
        <w:rPr>
          <w:rFonts w:ascii="Arial" w:hAnsi="Arial" w:cs="Arial"/>
          <w:b/>
          <w:smallCaps/>
          <w:color w:val="auto"/>
          <w:sz w:val="28"/>
          <w:szCs w:val="28"/>
        </w:rPr>
        <w:t>2021</w:t>
      </w:r>
    </w:p>
    <w:p w14:paraId="276771B2" w14:textId="77777777" w:rsidR="00362580" w:rsidRPr="00FA6FD3" w:rsidRDefault="00923A66" w:rsidP="00604BF0">
      <w:pPr>
        <w:jc w:val="both"/>
        <w:rPr>
          <w:b/>
          <w:i/>
          <w:sz w:val="22"/>
          <w:u w:val="single"/>
        </w:rPr>
      </w:pPr>
      <w:r w:rsidRPr="00FA6FD3">
        <w:rPr>
          <w:noProof/>
          <w:sz w:val="22"/>
        </w:rPr>
        <mc:AlternateContent>
          <mc:Choice Requires="wps">
            <w:drawing>
              <wp:anchor distT="0" distB="0" distL="114300" distR="114300" simplePos="0" relativeHeight="251659264" behindDoc="0" locked="0" layoutInCell="1" allowOverlap="1" wp14:anchorId="641578C8" wp14:editId="26C76ED8">
                <wp:simplePos x="0" y="0"/>
                <wp:positionH relativeFrom="column">
                  <wp:posOffset>7239000</wp:posOffset>
                </wp:positionH>
                <wp:positionV relativeFrom="paragraph">
                  <wp:posOffset>-552450</wp:posOffset>
                </wp:positionV>
                <wp:extent cx="523875" cy="102298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22985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DD5FAE" id="Rectangle 5" o:spid="_x0000_s1026" style="position:absolute;margin-left:570pt;margin-top:-43.5pt;width:41.25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" fillcolor="#5f497a [2407]" stroked="f"/>
            </w:pict>
          </mc:Fallback>
        </mc:AlternateContent>
      </w:r>
      <w:r w:rsidR="00E61A3E" w:rsidRPr="00FA6FD3">
        <w:rPr>
          <w:noProof/>
          <w:sz w:val="22"/>
        </w:rPr>
        <mc:AlternateContent>
          <mc:Choice Requires="wps">
            <w:drawing>
              <wp:anchor distT="0" distB="0" distL="114300" distR="114300" simplePos="0" relativeHeight="251656190" behindDoc="0" locked="0" layoutInCell="1" allowOverlap="1" wp14:anchorId="4BF4144F" wp14:editId="6DBBEB3F">
                <wp:simplePos x="0" y="0"/>
                <wp:positionH relativeFrom="column">
                  <wp:posOffset>4206240</wp:posOffset>
                </wp:positionH>
                <wp:positionV relativeFrom="paragraph">
                  <wp:posOffset>57150</wp:posOffset>
                </wp:positionV>
                <wp:extent cx="2286000" cy="2762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55930" w14:textId="77777777" w:rsidR="009B165F" w:rsidRPr="00DF49AE" w:rsidRDefault="009B165F" w:rsidP="00B82C2B">
                            <w:pPr>
                              <w:jc w:val="right"/>
                              <w:rPr>
                                <w:color w:val="5F497A" w:themeColor="accent4" w:themeShade="B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F4144F" id="_x0000_t202" coordsize="21600,21600" o:spt="202" path="m,l,21600r21600,l21600,xe">
                <v:stroke joinstyle="miter"/>
                <v:path gradientshapeok="t" o:connecttype="rect"/>
              </v:shapetype>
              <v:shape id="Text Box 4" o:spid="_x0000_s1026" type="#_x0000_t202" style="position:absolute;left:0;text-align:left;margin-left:331.2pt;margin-top:4.5pt;width:180pt;height:21.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" stroked="f">
                <v:textbox>
                  <w:txbxContent>
                    <w:p w14:paraId="37455930" w14:textId="77777777" w:rsidR="009B165F" w:rsidRPr="00DF49AE" w:rsidRDefault="009B165F" w:rsidP="00B82C2B">
                      <w:pPr>
                        <w:jc w:val="right"/>
                        <w:rPr>
                          <w:color w:val="5F497A" w:themeColor="accent4" w:themeShade="BF"/>
                          <w:sz w:val="16"/>
                          <w:szCs w:val="16"/>
                        </w:rPr>
                      </w:pPr>
                    </w:p>
                  </w:txbxContent>
                </v:textbox>
              </v:shape>
            </w:pict>
          </mc:Fallback>
        </mc:AlternateContent>
      </w:r>
    </w:p>
    <w:p w14:paraId="46817EF9" w14:textId="77777777" w:rsidR="00FA6FD3" w:rsidRPr="00FA6FD3" w:rsidRDefault="00FA6FD3" w:rsidP="00FA6FD3">
      <w:pPr>
        <w:autoSpaceDE w:val="0"/>
        <w:autoSpaceDN w:val="0"/>
        <w:adjustRightInd w:val="0"/>
        <w:contextualSpacing/>
        <w:rPr>
          <w:b/>
          <w:sz w:val="22"/>
        </w:rPr>
      </w:pPr>
      <w:r w:rsidRPr="00FA6FD3">
        <w:rPr>
          <w:b/>
          <w:sz w:val="22"/>
        </w:rPr>
        <w:t>Behavioral health court needs</w:t>
      </w:r>
    </w:p>
    <w:p w14:paraId="70F0F0F8" w14:textId="77777777" w:rsidR="00FA6FD3" w:rsidRPr="00FA6FD3" w:rsidRDefault="00FA6FD3" w:rsidP="00FA6FD3">
      <w:pPr>
        <w:autoSpaceDE w:val="0"/>
        <w:autoSpaceDN w:val="0"/>
        <w:adjustRightInd w:val="0"/>
        <w:contextualSpacing/>
        <w:rPr>
          <w:rFonts w:eastAsia="Calibri"/>
          <w:sz w:val="22"/>
        </w:rPr>
      </w:pPr>
    </w:p>
    <w:p w14:paraId="6C36AE67" w14:textId="3BF1450E" w:rsidR="006E180C" w:rsidRDefault="006E180C" w:rsidP="00FA6FD3">
      <w:pPr>
        <w:spacing w:after="240"/>
        <w:rPr>
          <w:rFonts w:eastAsia="Calibri"/>
          <w:sz w:val="22"/>
        </w:rPr>
      </w:pPr>
      <w:r>
        <w:rPr>
          <w:rFonts w:eastAsia="Calibri"/>
          <w:sz w:val="22"/>
        </w:rPr>
        <w:t>Behavioral and therapeutic courts at all court levels would all benefit from an AOC-housed state-wide management and research. The 2021 AOC budget include</w:t>
      </w:r>
      <w:r w:rsidR="00EF765F">
        <w:rPr>
          <w:rFonts w:eastAsia="Calibri"/>
          <w:sz w:val="22"/>
        </w:rPr>
        <w:t>s</w:t>
      </w:r>
      <w:r>
        <w:rPr>
          <w:rFonts w:eastAsia="Calibri"/>
          <w:sz w:val="22"/>
        </w:rPr>
        <w:t xml:space="preserve"> this important resource.</w:t>
      </w:r>
    </w:p>
    <w:p w14:paraId="6659441E" w14:textId="4D12FB12" w:rsidR="00FA6FD3" w:rsidRPr="00FA6FD3" w:rsidRDefault="00FA6FD3" w:rsidP="00F51DF9">
      <w:pPr>
        <w:spacing w:after="240"/>
        <w:ind w:left="720"/>
        <w:rPr>
          <w:rFonts w:eastAsia="Calibri"/>
          <w:sz w:val="22"/>
        </w:rPr>
      </w:pPr>
      <w:bookmarkStart w:id="0" w:name="_GoBack"/>
      <w:bookmarkEnd w:id="0"/>
      <w:r w:rsidRPr="00FA6FD3">
        <w:rPr>
          <w:rFonts w:eastAsia="Calibri"/>
          <w:sz w:val="22"/>
        </w:rPr>
        <w:t>As of 2020, there were around 100 therapeutic courts operating in Washington State consisting of drug courts, juvenile drug courts, family treatment courts, driving under the influence (DUI) courts, mental health courts, veterans’ courts, community courts, and domestic violence courts.</w:t>
      </w:r>
    </w:p>
    <w:p w14:paraId="09970DA4" w14:textId="77777777" w:rsidR="00FA6FD3" w:rsidRPr="00FA6FD3" w:rsidRDefault="00FA6FD3" w:rsidP="00F51DF9">
      <w:pPr>
        <w:autoSpaceDE w:val="0"/>
        <w:autoSpaceDN w:val="0"/>
        <w:adjustRightInd w:val="0"/>
        <w:ind w:left="720"/>
        <w:contextualSpacing/>
        <w:rPr>
          <w:sz w:val="22"/>
        </w:rPr>
      </w:pPr>
      <w:r w:rsidRPr="00FA6FD3">
        <w:rPr>
          <w:sz w:val="22"/>
        </w:rPr>
        <w:t xml:space="preserve">Courts have seen an increase in the number of individuals with behavioral health needs accessing and involved in the justice system, and laws and policies addressing behavioral health issues that impact the courts. </w:t>
      </w:r>
    </w:p>
    <w:p w14:paraId="02F2FEC9" w14:textId="77777777" w:rsidR="00FA6FD3" w:rsidRPr="00FA6FD3" w:rsidRDefault="00FA6FD3" w:rsidP="00FA6FD3">
      <w:pPr>
        <w:autoSpaceDE w:val="0"/>
        <w:autoSpaceDN w:val="0"/>
        <w:adjustRightInd w:val="0"/>
        <w:contextualSpacing/>
        <w:rPr>
          <w:rFonts w:eastAsiaTheme="minorEastAsia"/>
          <w:sz w:val="22"/>
        </w:rPr>
      </w:pPr>
    </w:p>
    <w:p w14:paraId="3F250CF5" w14:textId="4110A3E7" w:rsidR="00FA6FD3" w:rsidRDefault="00FA6FD3" w:rsidP="00F51DF9">
      <w:pPr>
        <w:autoSpaceDE w:val="0"/>
        <w:autoSpaceDN w:val="0"/>
        <w:adjustRightInd w:val="0"/>
        <w:ind w:left="720"/>
        <w:contextualSpacing/>
        <w:rPr>
          <w:sz w:val="22"/>
        </w:rPr>
      </w:pPr>
      <w:r w:rsidRPr="00FA6FD3">
        <w:rPr>
          <w:sz w:val="22"/>
        </w:rPr>
        <w:t xml:space="preserve">Therapeutic courts are not in every community nor are the programs consistently organized and evaluated to ensure best practices. Already busy courts have to develop these programs by themselves which requires a tremendous amount of work. </w:t>
      </w:r>
    </w:p>
    <w:p w14:paraId="366CB0DB" w14:textId="02C99688" w:rsidR="006E180C" w:rsidRDefault="006E180C" w:rsidP="00F51DF9">
      <w:pPr>
        <w:autoSpaceDE w:val="0"/>
        <w:autoSpaceDN w:val="0"/>
        <w:adjustRightInd w:val="0"/>
        <w:ind w:left="720"/>
        <w:contextualSpacing/>
        <w:rPr>
          <w:sz w:val="22"/>
        </w:rPr>
      </w:pPr>
    </w:p>
    <w:p w14:paraId="386FEF6E" w14:textId="77777777" w:rsidR="00FA6FD3" w:rsidRPr="00FA6FD3" w:rsidRDefault="00FA6FD3" w:rsidP="00FA6FD3">
      <w:pPr>
        <w:autoSpaceDE w:val="0"/>
        <w:autoSpaceDN w:val="0"/>
        <w:adjustRightInd w:val="0"/>
        <w:contextualSpacing/>
        <w:rPr>
          <w:rFonts w:eastAsiaTheme="minorEastAsia"/>
          <w:b/>
          <w:sz w:val="22"/>
        </w:rPr>
      </w:pPr>
      <w:r w:rsidRPr="00FA6FD3">
        <w:rPr>
          <w:rFonts w:eastAsiaTheme="minorEastAsia"/>
          <w:b/>
          <w:sz w:val="22"/>
        </w:rPr>
        <w:t>Therapeutic Courts and the Pandemic</w:t>
      </w:r>
    </w:p>
    <w:p w14:paraId="39412727" w14:textId="77777777" w:rsidR="00FA6FD3" w:rsidRPr="00FA6FD3" w:rsidRDefault="00FA6FD3" w:rsidP="00FA6FD3">
      <w:pPr>
        <w:autoSpaceDE w:val="0"/>
        <w:autoSpaceDN w:val="0"/>
        <w:adjustRightInd w:val="0"/>
        <w:contextualSpacing/>
        <w:rPr>
          <w:rFonts w:eastAsiaTheme="minorEastAsia"/>
          <w:b/>
          <w:sz w:val="22"/>
        </w:rPr>
      </w:pPr>
    </w:p>
    <w:p w14:paraId="00F64CA1" w14:textId="3181F492" w:rsidR="006E180C" w:rsidRDefault="006E180C" w:rsidP="00FA6FD3">
      <w:pPr>
        <w:pStyle w:val="NoSpacing"/>
        <w:rPr>
          <w:rFonts w:ascii="Arial" w:hAnsi="Arial" w:cs="Arial"/>
        </w:rPr>
      </w:pPr>
      <w:r>
        <w:rPr>
          <w:rFonts w:ascii="Arial" w:hAnsi="Arial" w:cs="Arial"/>
        </w:rPr>
        <w:t xml:space="preserve">In light of the COVID pandemic, </w:t>
      </w:r>
      <w:r w:rsidR="00F63EF2">
        <w:rPr>
          <w:rFonts w:ascii="Arial" w:hAnsi="Arial" w:cs="Arial"/>
        </w:rPr>
        <w:t>additional s</w:t>
      </w:r>
      <w:r>
        <w:rPr>
          <w:rFonts w:ascii="Arial" w:hAnsi="Arial" w:cs="Arial"/>
        </w:rPr>
        <w:t>teps must be taken by behavioral and therapeutic court judges and leadership to reach out to potential users and partners.</w:t>
      </w:r>
    </w:p>
    <w:p w14:paraId="397C32C0" w14:textId="77777777" w:rsidR="006E180C" w:rsidRDefault="006E180C" w:rsidP="00FA6FD3">
      <w:pPr>
        <w:pStyle w:val="NoSpacing"/>
        <w:rPr>
          <w:rFonts w:ascii="Arial" w:hAnsi="Arial" w:cs="Arial"/>
        </w:rPr>
      </w:pPr>
    </w:p>
    <w:p w14:paraId="1387D4FE" w14:textId="03E669F9" w:rsidR="00FA6FD3" w:rsidRPr="00FA6FD3" w:rsidRDefault="00FA6FD3" w:rsidP="00F51DF9">
      <w:pPr>
        <w:pStyle w:val="NoSpacing"/>
        <w:ind w:left="720"/>
        <w:rPr>
          <w:rFonts w:ascii="Arial" w:hAnsi="Arial" w:cs="Arial"/>
        </w:rPr>
      </w:pPr>
      <w:r w:rsidRPr="00FA6FD3">
        <w:rPr>
          <w:rFonts w:ascii="Arial" w:hAnsi="Arial" w:cs="Arial"/>
        </w:rPr>
        <w:t xml:space="preserve">The COVID pandemic has taken its toll on our local communities and country, and courts are no different. At every level, courts have struggled to process cases and keep justice moving forward. Participants in therapeutic courts such as drug court, mental health court, veteran’s court, and community court have been particularly hard hit. </w:t>
      </w:r>
    </w:p>
    <w:p w14:paraId="5D02D53C" w14:textId="77777777" w:rsidR="00FA6FD3" w:rsidRPr="00FA6FD3" w:rsidRDefault="00FA6FD3" w:rsidP="00F51DF9">
      <w:pPr>
        <w:pStyle w:val="NoSpacing"/>
        <w:ind w:left="720"/>
        <w:rPr>
          <w:rFonts w:ascii="Arial" w:hAnsi="Arial" w:cs="Arial"/>
        </w:rPr>
      </w:pPr>
    </w:p>
    <w:p w14:paraId="50BB4B24" w14:textId="77777777" w:rsidR="00FA6FD3" w:rsidRPr="00FA6FD3" w:rsidRDefault="00FA6FD3" w:rsidP="00F51DF9">
      <w:pPr>
        <w:pStyle w:val="NoSpacing"/>
        <w:ind w:left="720"/>
        <w:rPr>
          <w:rFonts w:ascii="Arial" w:hAnsi="Arial" w:cs="Arial"/>
        </w:rPr>
      </w:pPr>
      <w:r w:rsidRPr="00FA6FD3">
        <w:rPr>
          <w:rFonts w:ascii="Arial" w:hAnsi="Arial" w:cs="Arial"/>
        </w:rPr>
        <w:t xml:space="preserve">Therapeutic courts rely heavily on developing community with the participants. Peer involvement is essential. Not being able to gather together in person has created significant challenges for participants to connect with case managers, court staff, judges and each other.  </w:t>
      </w:r>
    </w:p>
    <w:p w14:paraId="3C3E96F2" w14:textId="77777777" w:rsidR="00FA6FD3" w:rsidRPr="00FA6FD3" w:rsidRDefault="00FA6FD3" w:rsidP="00F51DF9">
      <w:pPr>
        <w:pStyle w:val="NoSpacing"/>
        <w:ind w:left="720"/>
        <w:rPr>
          <w:rFonts w:ascii="Arial" w:hAnsi="Arial" w:cs="Arial"/>
        </w:rPr>
      </w:pPr>
    </w:p>
    <w:p w14:paraId="483186D9" w14:textId="77777777" w:rsidR="00FA6FD3" w:rsidRPr="00FA6FD3" w:rsidRDefault="00FA6FD3" w:rsidP="00F51DF9">
      <w:pPr>
        <w:pStyle w:val="NoSpacing"/>
        <w:ind w:left="720"/>
        <w:rPr>
          <w:rFonts w:ascii="Arial" w:hAnsi="Arial" w:cs="Arial"/>
        </w:rPr>
      </w:pPr>
      <w:r w:rsidRPr="00FA6FD3">
        <w:rPr>
          <w:rFonts w:ascii="Arial" w:hAnsi="Arial" w:cs="Arial"/>
        </w:rPr>
        <w:t xml:space="preserve">Another big challenge has been the drop in referrals to therapeutic courts statewide. This may have come from confusion over whether therapeutic courts were still accepting referrals. We are and we hope those referrals will return. </w:t>
      </w:r>
    </w:p>
    <w:p w14:paraId="2F0F10DE" w14:textId="77777777" w:rsidR="00FA6FD3" w:rsidRPr="00FA6FD3" w:rsidRDefault="00FA6FD3" w:rsidP="00FA6FD3">
      <w:pPr>
        <w:autoSpaceDE w:val="0"/>
        <w:autoSpaceDN w:val="0"/>
        <w:adjustRightInd w:val="0"/>
        <w:contextualSpacing/>
        <w:rPr>
          <w:rFonts w:eastAsiaTheme="minorEastAsia"/>
          <w:b/>
          <w:sz w:val="22"/>
        </w:rPr>
      </w:pPr>
    </w:p>
    <w:p w14:paraId="7006ECE9" w14:textId="77777777" w:rsidR="00052301" w:rsidRPr="00FA6FD3" w:rsidRDefault="00052301" w:rsidP="00FA6FD3">
      <w:pPr>
        <w:spacing w:after="240"/>
        <w:rPr>
          <w:rFonts w:eastAsia="Calibri"/>
          <w:sz w:val="22"/>
        </w:rPr>
      </w:pPr>
      <w:r w:rsidRPr="00FA6FD3">
        <w:rPr>
          <w:b/>
          <w:sz w:val="22"/>
        </w:rPr>
        <w:t>Successes highlight the benefits to individuals and communities</w:t>
      </w:r>
    </w:p>
    <w:p w14:paraId="76A97C8B" w14:textId="3CCDFF50" w:rsidR="00F63EF2" w:rsidRDefault="00F63EF2" w:rsidP="00FA6FD3">
      <w:pPr>
        <w:pStyle w:val="NoSpacing"/>
        <w:rPr>
          <w:rFonts w:ascii="Arial" w:hAnsi="Arial" w:cs="Arial"/>
        </w:rPr>
      </w:pPr>
      <w:r>
        <w:rPr>
          <w:rFonts w:ascii="Arial" w:hAnsi="Arial" w:cs="Arial"/>
        </w:rPr>
        <w:t>Behavioral and therapeutic courts rely on research to prove and sustain their success.</w:t>
      </w:r>
    </w:p>
    <w:p w14:paraId="7E80445A" w14:textId="77777777" w:rsidR="00F63EF2" w:rsidRDefault="00F63EF2" w:rsidP="00FA6FD3">
      <w:pPr>
        <w:pStyle w:val="NoSpacing"/>
        <w:rPr>
          <w:rFonts w:ascii="Arial" w:hAnsi="Arial" w:cs="Arial"/>
        </w:rPr>
      </w:pPr>
    </w:p>
    <w:p w14:paraId="54BBA5CC" w14:textId="619044BA" w:rsidR="00FA6FD3" w:rsidRPr="00FA6FD3" w:rsidRDefault="00FA6FD3" w:rsidP="00F51DF9">
      <w:pPr>
        <w:pStyle w:val="NoSpacing"/>
        <w:ind w:left="720"/>
        <w:rPr>
          <w:rFonts w:ascii="Arial" w:hAnsi="Arial" w:cs="Arial"/>
        </w:rPr>
      </w:pPr>
      <w:r w:rsidRPr="00FA6FD3">
        <w:rPr>
          <w:rFonts w:ascii="Arial" w:hAnsi="Arial" w:cs="Arial"/>
        </w:rPr>
        <w:t xml:space="preserve">Therapeutic courts focus on a restorative instead of retributive justice model. These courts identify the root of a person’s involvement with the criminal justice system and focus on services to prevent re-offending. Therapeutic courts are forward looking—asking what we can do to prevent further offense. Statistics show dramatically lower re-offense rates between those who participate in therapeutic courts and those who do not. </w:t>
      </w:r>
    </w:p>
    <w:p w14:paraId="3DD46664" w14:textId="77777777" w:rsidR="00FA6FD3" w:rsidRDefault="00FA6FD3" w:rsidP="00F51DF9">
      <w:pPr>
        <w:pStyle w:val="NoSpacing"/>
        <w:ind w:left="720"/>
        <w:rPr>
          <w:rFonts w:ascii="Arial" w:hAnsi="Arial" w:cs="Arial"/>
        </w:rPr>
      </w:pPr>
    </w:p>
    <w:p w14:paraId="1868D7A8" w14:textId="77777777" w:rsidR="00FA6FD3" w:rsidRPr="00FA6FD3" w:rsidRDefault="00FA6FD3" w:rsidP="00F51DF9">
      <w:pPr>
        <w:spacing w:after="160" w:line="254" w:lineRule="auto"/>
        <w:ind w:left="720"/>
        <w:rPr>
          <w:sz w:val="22"/>
        </w:rPr>
      </w:pPr>
      <w:r w:rsidRPr="00FA6FD3">
        <w:rPr>
          <w:sz w:val="22"/>
        </w:rPr>
        <w:t xml:space="preserve">An abundance of research papers and evaluations indicate that therapeutic courts are effective at reducing recidivism and saving costs. Drug courts have been found to reduce </w:t>
      </w:r>
      <w:r w:rsidRPr="00FA6FD3">
        <w:rPr>
          <w:sz w:val="22"/>
        </w:rPr>
        <w:lastRenderedPageBreak/>
        <w:t>recidivism by around 10%</w:t>
      </w:r>
      <w:r>
        <w:rPr>
          <w:rStyle w:val="FootnoteReference"/>
          <w:sz w:val="22"/>
        </w:rPr>
        <w:footnoteReference w:id="1"/>
      </w:r>
      <w:r w:rsidRPr="00FA6FD3">
        <w:rPr>
          <w:sz w:val="22"/>
        </w:rPr>
        <w:t xml:space="preserve">. </w:t>
      </w:r>
      <w:r>
        <w:rPr>
          <w:sz w:val="22"/>
        </w:rPr>
        <w:t xml:space="preserve"> </w:t>
      </w:r>
      <w:r w:rsidRPr="00FA6FD3">
        <w:rPr>
          <w:sz w:val="22"/>
        </w:rPr>
        <w:t>Mental health courts, veterans’ courts, and community courts may be less studied than drug courts, but have shown similar reductions in recidivism among their participants</w:t>
      </w:r>
      <w:r>
        <w:rPr>
          <w:rStyle w:val="FootnoteReference"/>
          <w:sz w:val="22"/>
        </w:rPr>
        <w:footnoteReference w:id="2"/>
      </w:r>
      <w:r>
        <w:rPr>
          <w:sz w:val="22"/>
        </w:rPr>
        <w:t>.</w:t>
      </w:r>
    </w:p>
    <w:p w14:paraId="09260CE5" w14:textId="77777777" w:rsidR="00DC0BD5" w:rsidRDefault="00DC0BD5" w:rsidP="00F51DF9">
      <w:pPr>
        <w:spacing w:after="160" w:line="254" w:lineRule="auto"/>
        <w:ind w:left="720"/>
        <w:rPr>
          <w:sz w:val="22"/>
        </w:rPr>
      </w:pPr>
      <w:r>
        <w:rPr>
          <w:sz w:val="22"/>
        </w:rPr>
        <w:t>O</w:t>
      </w:r>
      <w:r w:rsidR="00FA6FD3" w:rsidRPr="005708BA">
        <w:rPr>
          <w:sz w:val="22"/>
        </w:rPr>
        <w:t>ther positive individual and societal benefits from therapeutic courts</w:t>
      </w:r>
      <w:r>
        <w:rPr>
          <w:sz w:val="22"/>
        </w:rPr>
        <w:t>:</w:t>
      </w:r>
    </w:p>
    <w:p w14:paraId="13C95DE6" w14:textId="77777777" w:rsidR="00DC0BD5" w:rsidRDefault="00FA6FD3" w:rsidP="00F51DF9">
      <w:pPr>
        <w:pStyle w:val="ListParagraph"/>
        <w:numPr>
          <w:ilvl w:val="0"/>
          <w:numId w:val="33"/>
        </w:numPr>
        <w:spacing w:after="160" w:line="254" w:lineRule="auto"/>
        <w:ind w:left="1440"/>
        <w:rPr>
          <w:sz w:val="22"/>
        </w:rPr>
      </w:pPr>
      <w:r w:rsidRPr="00DC0BD5">
        <w:rPr>
          <w:sz w:val="22"/>
        </w:rPr>
        <w:t>Drug court participants were more likely to be employed than non-participants</w:t>
      </w:r>
      <w:r w:rsidR="00DC0BD5">
        <w:rPr>
          <w:rStyle w:val="FootnoteReference"/>
          <w:sz w:val="22"/>
        </w:rPr>
        <w:footnoteReference w:id="3"/>
      </w:r>
      <w:r w:rsidRPr="00DC0BD5">
        <w:rPr>
          <w:sz w:val="22"/>
        </w:rPr>
        <w:t xml:space="preserve">. </w:t>
      </w:r>
    </w:p>
    <w:p w14:paraId="2F23F694" w14:textId="77777777" w:rsidR="00DC0BD5" w:rsidRDefault="00FA6FD3" w:rsidP="00F51DF9">
      <w:pPr>
        <w:pStyle w:val="ListParagraph"/>
        <w:numPr>
          <w:ilvl w:val="0"/>
          <w:numId w:val="33"/>
        </w:numPr>
        <w:spacing w:after="160" w:line="254" w:lineRule="auto"/>
        <w:ind w:left="1440"/>
        <w:rPr>
          <w:sz w:val="22"/>
        </w:rPr>
      </w:pPr>
      <w:r w:rsidRPr="00DC0BD5">
        <w:rPr>
          <w:sz w:val="22"/>
        </w:rPr>
        <w:t>Community courts have been associated with substantial drops in the quality-of-life offenses like prostitution and street vending in their surrounding neighborhoods</w:t>
      </w:r>
      <w:r w:rsidR="00DC0BD5">
        <w:rPr>
          <w:rStyle w:val="FootnoteReference"/>
          <w:sz w:val="22"/>
        </w:rPr>
        <w:footnoteReference w:id="4"/>
      </w:r>
      <w:r w:rsidRPr="00DC0BD5">
        <w:rPr>
          <w:sz w:val="22"/>
        </w:rPr>
        <w:t xml:space="preserve">. </w:t>
      </w:r>
    </w:p>
    <w:p w14:paraId="11B7642F" w14:textId="77777777" w:rsidR="00FA6FD3" w:rsidRPr="00DC0BD5" w:rsidRDefault="00FA6FD3" w:rsidP="00F51DF9">
      <w:pPr>
        <w:pStyle w:val="ListParagraph"/>
        <w:numPr>
          <w:ilvl w:val="0"/>
          <w:numId w:val="33"/>
        </w:numPr>
        <w:spacing w:after="160" w:line="254" w:lineRule="auto"/>
        <w:ind w:left="1440"/>
        <w:rPr>
          <w:sz w:val="22"/>
        </w:rPr>
      </w:pPr>
      <w:r w:rsidRPr="00DC0BD5">
        <w:rPr>
          <w:sz w:val="22"/>
        </w:rPr>
        <w:t>Other studies have shown veterans’ court participants have improved housing, mental health, and social connectedness outcomes</w:t>
      </w:r>
      <w:r w:rsidR="00DC0BD5">
        <w:rPr>
          <w:rStyle w:val="FootnoteReference"/>
          <w:sz w:val="22"/>
        </w:rPr>
        <w:footnoteReference w:id="5"/>
      </w:r>
      <w:r w:rsidR="00DC0BD5" w:rsidRPr="00DC0BD5">
        <w:rPr>
          <w:sz w:val="22"/>
        </w:rPr>
        <w:t>.</w:t>
      </w:r>
    </w:p>
    <w:p w14:paraId="438B1F70" w14:textId="77777777" w:rsidR="00FA6FD3" w:rsidRPr="005708BA" w:rsidRDefault="00DC0BD5" w:rsidP="00F51DF9">
      <w:pPr>
        <w:spacing w:after="160" w:line="254" w:lineRule="auto"/>
        <w:ind w:left="720"/>
        <w:rPr>
          <w:sz w:val="22"/>
        </w:rPr>
      </w:pPr>
      <w:r>
        <w:rPr>
          <w:sz w:val="22"/>
        </w:rPr>
        <w:t>T</w:t>
      </w:r>
      <w:r w:rsidR="00FA6FD3" w:rsidRPr="005708BA">
        <w:rPr>
          <w:sz w:val="22"/>
        </w:rPr>
        <w:t>he Washington State Institute for Public Policy (WSIPP) conducts regular cost-benefit analysis of a variety of adult and juvenile justice system interventions and has consistently found therapeutic courts to produce cost-savings through combinations of reductions in recidivism and improved individual and social outcomes for participants. Their most recent summaries found the following benefits for therapeutic courts (dollars saved/1 dollar spent):</w:t>
      </w:r>
    </w:p>
    <w:p w14:paraId="4B41E6A6" w14:textId="77777777" w:rsidR="00FA6FD3" w:rsidRPr="00DC0BD5" w:rsidRDefault="00FA6FD3" w:rsidP="00F51DF9">
      <w:pPr>
        <w:pStyle w:val="ListParagraph"/>
        <w:numPr>
          <w:ilvl w:val="0"/>
          <w:numId w:val="32"/>
        </w:numPr>
        <w:spacing w:after="160" w:line="254" w:lineRule="auto"/>
        <w:ind w:left="1440"/>
        <w:rPr>
          <w:sz w:val="22"/>
        </w:rPr>
      </w:pPr>
      <w:r w:rsidRPr="00DC0BD5">
        <w:rPr>
          <w:sz w:val="22"/>
        </w:rPr>
        <w:t>Mental Health courts: $5.56</w:t>
      </w:r>
    </w:p>
    <w:p w14:paraId="3A3A5BC7" w14:textId="77777777" w:rsidR="00FA6FD3" w:rsidRPr="00DC0BD5" w:rsidRDefault="00FA6FD3" w:rsidP="00F51DF9">
      <w:pPr>
        <w:pStyle w:val="ListParagraph"/>
        <w:numPr>
          <w:ilvl w:val="0"/>
          <w:numId w:val="32"/>
        </w:numPr>
        <w:spacing w:after="160" w:line="254" w:lineRule="auto"/>
        <w:ind w:left="1440"/>
        <w:rPr>
          <w:sz w:val="22"/>
        </w:rPr>
      </w:pPr>
      <w:r w:rsidRPr="00DC0BD5">
        <w:rPr>
          <w:sz w:val="22"/>
        </w:rPr>
        <w:t>Reentry courts: $3.36</w:t>
      </w:r>
    </w:p>
    <w:p w14:paraId="6BDFA33A" w14:textId="77777777" w:rsidR="00FA6FD3" w:rsidRDefault="00FA6FD3" w:rsidP="00F51DF9">
      <w:pPr>
        <w:pStyle w:val="ListParagraph"/>
        <w:numPr>
          <w:ilvl w:val="0"/>
          <w:numId w:val="32"/>
        </w:numPr>
        <w:spacing w:after="160" w:line="254" w:lineRule="auto"/>
        <w:ind w:left="1440"/>
        <w:rPr>
          <w:sz w:val="22"/>
        </w:rPr>
      </w:pPr>
      <w:r w:rsidRPr="00DC0BD5">
        <w:rPr>
          <w:sz w:val="22"/>
        </w:rPr>
        <w:t>Drug courts: $2.82</w:t>
      </w:r>
    </w:p>
    <w:p w14:paraId="41C2A20A" w14:textId="77777777" w:rsidR="00EF765F" w:rsidRPr="00DC0BD5" w:rsidRDefault="00EF765F" w:rsidP="00EF765F">
      <w:pPr>
        <w:pStyle w:val="ListParagraph"/>
        <w:spacing w:after="160" w:line="254" w:lineRule="auto"/>
        <w:ind w:left="1440"/>
        <w:rPr>
          <w:sz w:val="22"/>
        </w:rPr>
      </w:pPr>
    </w:p>
    <w:p w14:paraId="52EF3C3B" w14:textId="77777777" w:rsidR="00EF765F" w:rsidRPr="00EF765F" w:rsidRDefault="00EF765F" w:rsidP="00EF765F">
      <w:pPr>
        <w:pStyle w:val="ListParagraph"/>
        <w:spacing w:after="160" w:line="254" w:lineRule="auto"/>
        <w:rPr>
          <w:sz w:val="22"/>
        </w:rPr>
      </w:pPr>
      <w:r w:rsidRPr="00EF765F">
        <w:rPr>
          <w:sz w:val="22"/>
        </w:rPr>
        <w:t>*Additional types of therapeutic courts exist in Washington State, but there may not be a sufficient number of published social science evaluations done on them to qualify for the WSIPP cost-benefit analysis.</w:t>
      </w:r>
    </w:p>
    <w:p w14:paraId="1446A187" w14:textId="77777777" w:rsidR="00A64A89" w:rsidRPr="002A77EF" w:rsidRDefault="00A64A89" w:rsidP="00F51DF9">
      <w:pPr>
        <w:autoSpaceDE w:val="0"/>
        <w:autoSpaceDN w:val="0"/>
        <w:adjustRightInd w:val="0"/>
        <w:ind w:left="720"/>
        <w:contextualSpacing/>
        <w:rPr>
          <w:sz w:val="22"/>
        </w:rPr>
      </w:pPr>
    </w:p>
    <w:sectPr w:rsidR="00A64A89" w:rsidRPr="002A77EF" w:rsidSect="00E27B97">
      <w:pgSz w:w="12240" w:h="15840"/>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F1AE" w14:textId="77777777" w:rsidR="00F7563D" w:rsidRDefault="00F7563D" w:rsidP="0008403B">
      <w:r>
        <w:separator/>
      </w:r>
    </w:p>
  </w:endnote>
  <w:endnote w:type="continuationSeparator" w:id="0">
    <w:p w14:paraId="0598AFA2" w14:textId="77777777" w:rsidR="00F7563D" w:rsidRDefault="00F7563D" w:rsidP="0008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2D777" w14:textId="77777777" w:rsidR="00F7563D" w:rsidRDefault="00F7563D" w:rsidP="0008403B">
      <w:r>
        <w:separator/>
      </w:r>
    </w:p>
  </w:footnote>
  <w:footnote w:type="continuationSeparator" w:id="0">
    <w:p w14:paraId="3A85EB46" w14:textId="77777777" w:rsidR="00F7563D" w:rsidRDefault="00F7563D" w:rsidP="0008403B">
      <w:r>
        <w:continuationSeparator/>
      </w:r>
    </w:p>
  </w:footnote>
  <w:footnote w:id="1">
    <w:p w14:paraId="49D0A487" w14:textId="77777777" w:rsidR="00FA6FD3" w:rsidRPr="00EF765F" w:rsidRDefault="00FA6FD3">
      <w:pPr>
        <w:pStyle w:val="FootnoteText"/>
        <w:rPr>
          <w:rFonts w:ascii="Arial" w:hAnsi="Arial" w:cs="Arial"/>
          <w:sz w:val="18"/>
          <w:szCs w:val="18"/>
        </w:rPr>
      </w:pPr>
      <w:r>
        <w:rPr>
          <w:rStyle w:val="FootnoteReference"/>
        </w:rPr>
        <w:footnoteRef/>
      </w:r>
      <w:r>
        <w:t xml:space="preserve"> </w:t>
      </w:r>
      <w:r w:rsidRPr="00EF765F">
        <w:rPr>
          <w:rFonts w:ascii="Arial" w:hAnsi="Arial" w:cs="Arial"/>
          <w:sz w:val="18"/>
          <w:szCs w:val="18"/>
        </w:rPr>
        <w:t xml:space="preserve">Gottfredson </w:t>
      </w:r>
      <w:proofErr w:type="gramStart"/>
      <w:r w:rsidRPr="00EF765F">
        <w:rPr>
          <w:rFonts w:ascii="Arial" w:hAnsi="Arial" w:cs="Arial"/>
          <w:sz w:val="18"/>
          <w:szCs w:val="18"/>
        </w:rPr>
        <w:t>et</w:t>
      </w:r>
      <w:proofErr w:type="gramEnd"/>
      <w:r w:rsidRPr="00EF765F">
        <w:rPr>
          <w:rFonts w:ascii="Arial" w:hAnsi="Arial" w:cs="Arial"/>
          <w:sz w:val="18"/>
          <w:szCs w:val="18"/>
        </w:rPr>
        <w:t xml:space="preserve">. </w:t>
      </w:r>
      <w:proofErr w:type="gramStart"/>
      <w:r w:rsidRPr="00EF765F">
        <w:rPr>
          <w:rFonts w:ascii="Arial" w:hAnsi="Arial" w:cs="Arial"/>
          <w:sz w:val="18"/>
          <w:szCs w:val="18"/>
        </w:rPr>
        <w:t>al</w:t>
      </w:r>
      <w:proofErr w:type="gramEnd"/>
      <w:r w:rsidRPr="00EF765F">
        <w:rPr>
          <w:rFonts w:ascii="Arial" w:hAnsi="Arial" w:cs="Arial"/>
          <w:sz w:val="18"/>
          <w:szCs w:val="18"/>
        </w:rPr>
        <w:t xml:space="preserve">, 2003; </w:t>
      </w:r>
      <w:proofErr w:type="spellStart"/>
      <w:r w:rsidRPr="00EF765F">
        <w:rPr>
          <w:rFonts w:ascii="Arial" w:hAnsi="Arial" w:cs="Arial"/>
          <w:sz w:val="18"/>
          <w:szCs w:val="18"/>
        </w:rPr>
        <w:t>Lowenkamp</w:t>
      </w:r>
      <w:proofErr w:type="spellEnd"/>
      <w:r w:rsidRPr="00EF765F">
        <w:rPr>
          <w:rFonts w:ascii="Arial" w:hAnsi="Arial" w:cs="Arial"/>
          <w:sz w:val="18"/>
          <w:szCs w:val="18"/>
        </w:rPr>
        <w:t xml:space="preserve"> et. </w:t>
      </w:r>
      <w:proofErr w:type="gramStart"/>
      <w:r w:rsidRPr="00EF765F">
        <w:rPr>
          <w:rFonts w:ascii="Arial" w:hAnsi="Arial" w:cs="Arial"/>
          <w:sz w:val="18"/>
          <w:szCs w:val="18"/>
        </w:rPr>
        <w:t>al</w:t>
      </w:r>
      <w:proofErr w:type="gramEnd"/>
      <w:r w:rsidRPr="00EF765F">
        <w:rPr>
          <w:rFonts w:ascii="Arial" w:hAnsi="Arial" w:cs="Arial"/>
          <w:sz w:val="18"/>
          <w:szCs w:val="18"/>
        </w:rPr>
        <w:t>, 2005; Mitchell et. al., 2012</w:t>
      </w:r>
    </w:p>
  </w:footnote>
  <w:footnote w:id="2">
    <w:p w14:paraId="381B62C4" w14:textId="5F17229C" w:rsidR="00FA6FD3" w:rsidRPr="00EF765F" w:rsidRDefault="00FA6FD3" w:rsidP="00EF765F">
      <w:pPr>
        <w:spacing w:after="160"/>
        <w:rPr>
          <w:sz w:val="18"/>
          <w:szCs w:val="18"/>
        </w:rPr>
      </w:pPr>
      <w:r w:rsidRPr="00EF765F">
        <w:rPr>
          <w:rStyle w:val="FootnoteReference"/>
          <w:sz w:val="18"/>
          <w:szCs w:val="18"/>
        </w:rPr>
        <w:footnoteRef/>
      </w:r>
      <w:r w:rsidRPr="00EF765F">
        <w:rPr>
          <w:sz w:val="18"/>
          <w:szCs w:val="18"/>
        </w:rPr>
        <w:t xml:space="preserve"> Hamilton, Holbrook, and </w:t>
      </w:r>
      <w:proofErr w:type="spellStart"/>
      <w:r w:rsidRPr="00EF765F">
        <w:rPr>
          <w:sz w:val="18"/>
          <w:szCs w:val="18"/>
        </w:rPr>
        <w:t>Kigerl</w:t>
      </w:r>
      <w:proofErr w:type="spellEnd"/>
      <w:r w:rsidRPr="00EF765F">
        <w:rPr>
          <w:sz w:val="18"/>
          <w:szCs w:val="18"/>
        </w:rPr>
        <w:t xml:space="preserve">, 2019; </w:t>
      </w:r>
      <w:proofErr w:type="spellStart"/>
      <w:r w:rsidRPr="00EF765F">
        <w:rPr>
          <w:sz w:val="18"/>
          <w:szCs w:val="18"/>
        </w:rPr>
        <w:t>Rossman</w:t>
      </w:r>
      <w:proofErr w:type="spellEnd"/>
      <w:r w:rsidRPr="00EF765F">
        <w:rPr>
          <w:sz w:val="18"/>
          <w:szCs w:val="18"/>
        </w:rPr>
        <w:t xml:space="preserve"> </w:t>
      </w:r>
      <w:proofErr w:type="gramStart"/>
      <w:r w:rsidRPr="00EF765F">
        <w:rPr>
          <w:sz w:val="18"/>
          <w:szCs w:val="18"/>
        </w:rPr>
        <w:t>et</w:t>
      </w:r>
      <w:proofErr w:type="gramEnd"/>
      <w:r w:rsidRPr="00EF765F">
        <w:rPr>
          <w:sz w:val="18"/>
          <w:szCs w:val="18"/>
        </w:rPr>
        <w:t xml:space="preserve">. al., 2012; Tsai </w:t>
      </w:r>
      <w:proofErr w:type="gramStart"/>
      <w:r w:rsidRPr="00EF765F">
        <w:rPr>
          <w:sz w:val="18"/>
          <w:szCs w:val="18"/>
        </w:rPr>
        <w:t>et</w:t>
      </w:r>
      <w:proofErr w:type="gramEnd"/>
      <w:r w:rsidRPr="00EF765F">
        <w:rPr>
          <w:sz w:val="18"/>
          <w:szCs w:val="18"/>
        </w:rPr>
        <w:t>. al., 2018</w:t>
      </w:r>
    </w:p>
  </w:footnote>
  <w:footnote w:id="3">
    <w:p w14:paraId="0DA8D79E" w14:textId="77777777" w:rsidR="00DC0BD5" w:rsidRPr="00EF765F" w:rsidRDefault="00DC0BD5" w:rsidP="00EF765F">
      <w:pPr>
        <w:pStyle w:val="FootnoteText"/>
        <w:rPr>
          <w:rFonts w:ascii="Arial" w:hAnsi="Arial" w:cs="Arial"/>
          <w:sz w:val="18"/>
          <w:szCs w:val="18"/>
        </w:rPr>
      </w:pPr>
      <w:r w:rsidRPr="00EF765F">
        <w:rPr>
          <w:rStyle w:val="FootnoteReference"/>
          <w:rFonts w:ascii="Arial" w:hAnsi="Arial" w:cs="Arial"/>
          <w:sz w:val="18"/>
          <w:szCs w:val="18"/>
        </w:rPr>
        <w:footnoteRef/>
      </w:r>
      <w:r w:rsidRPr="00EF765F">
        <w:rPr>
          <w:rFonts w:ascii="Arial" w:hAnsi="Arial" w:cs="Arial"/>
          <w:sz w:val="18"/>
          <w:szCs w:val="18"/>
        </w:rPr>
        <w:t xml:space="preserve"> Peters and Murrin, 2000</w:t>
      </w:r>
    </w:p>
  </w:footnote>
  <w:footnote w:id="4">
    <w:p w14:paraId="216476C8" w14:textId="77777777" w:rsidR="00DC0BD5" w:rsidRPr="00EF765F" w:rsidRDefault="00DC0BD5">
      <w:pPr>
        <w:pStyle w:val="FootnoteText"/>
        <w:rPr>
          <w:rFonts w:ascii="Arial" w:hAnsi="Arial" w:cs="Arial"/>
          <w:sz w:val="18"/>
          <w:szCs w:val="18"/>
        </w:rPr>
      </w:pPr>
      <w:r w:rsidRPr="00EF765F">
        <w:rPr>
          <w:rStyle w:val="FootnoteReference"/>
          <w:rFonts w:ascii="Arial" w:hAnsi="Arial" w:cs="Arial"/>
          <w:sz w:val="18"/>
          <w:szCs w:val="18"/>
        </w:rPr>
        <w:footnoteRef/>
      </w:r>
      <w:r w:rsidRPr="00EF765F">
        <w:rPr>
          <w:rFonts w:ascii="Arial" w:hAnsi="Arial" w:cs="Arial"/>
          <w:sz w:val="18"/>
          <w:szCs w:val="18"/>
        </w:rPr>
        <w:t xml:space="preserve"> </w:t>
      </w:r>
      <w:proofErr w:type="spellStart"/>
      <w:r w:rsidRPr="00EF765F">
        <w:rPr>
          <w:rFonts w:ascii="Arial" w:hAnsi="Arial" w:cs="Arial"/>
          <w:sz w:val="18"/>
          <w:szCs w:val="18"/>
        </w:rPr>
        <w:t>Sviridoff</w:t>
      </w:r>
      <w:proofErr w:type="spellEnd"/>
      <w:r w:rsidRPr="00EF765F">
        <w:rPr>
          <w:rFonts w:ascii="Arial" w:hAnsi="Arial" w:cs="Arial"/>
          <w:sz w:val="18"/>
          <w:szCs w:val="18"/>
        </w:rPr>
        <w:t xml:space="preserve"> </w:t>
      </w:r>
      <w:proofErr w:type="gramStart"/>
      <w:r w:rsidRPr="00EF765F">
        <w:rPr>
          <w:rFonts w:ascii="Arial" w:hAnsi="Arial" w:cs="Arial"/>
          <w:sz w:val="18"/>
          <w:szCs w:val="18"/>
        </w:rPr>
        <w:t>et</w:t>
      </w:r>
      <w:proofErr w:type="gramEnd"/>
      <w:r w:rsidRPr="00EF765F">
        <w:rPr>
          <w:rFonts w:ascii="Arial" w:hAnsi="Arial" w:cs="Arial"/>
          <w:sz w:val="18"/>
          <w:szCs w:val="18"/>
        </w:rPr>
        <w:t>. al., 2002</w:t>
      </w:r>
    </w:p>
  </w:footnote>
  <w:footnote w:id="5">
    <w:p w14:paraId="262D9AD8" w14:textId="77777777" w:rsidR="00DC0BD5" w:rsidRPr="00EF765F" w:rsidRDefault="00DC0BD5">
      <w:pPr>
        <w:pStyle w:val="FootnoteText"/>
        <w:rPr>
          <w:rFonts w:ascii="Arial" w:hAnsi="Arial" w:cs="Arial"/>
          <w:sz w:val="18"/>
          <w:szCs w:val="18"/>
        </w:rPr>
      </w:pPr>
      <w:r w:rsidRPr="00EF765F">
        <w:rPr>
          <w:rStyle w:val="FootnoteReference"/>
          <w:rFonts w:ascii="Arial" w:hAnsi="Arial" w:cs="Arial"/>
          <w:sz w:val="18"/>
          <w:szCs w:val="18"/>
        </w:rPr>
        <w:footnoteRef/>
      </w:r>
      <w:r w:rsidRPr="00EF765F">
        <w:rPr>
          <w:rFonts w:ascii="Arial" w:hAnsi="Arial" w:cs="Arial"/>
          <w:sz w:val="18"/>
          <w:szCs w:val="18"/>
        </w:rPr>
        <w:t xml:space="preserve"> Knudsen and </w:t>
      </w:r>
      <w:proofErr w:type="spellStart"/>
      <w:r w:rsidRPr="00EF765F">
        <w:rPr>
          <w:rFonts w:ascii="Arial" w:hAnsi="Arial" w:cs="Arial"/>
          <w:sz w:val="18"/>
          <w:szCs w:val="18"/>
        </w:rPr>
        <w:t>Wingenfeld</w:t>
      </w:r>
      <w:proofErr w:type="spellEnd"/>
      <w:r w:rsidRPr="00EF765F">
        <w:rPr>
          <w:rFonts w:ascii="Arial" w:hAnsi="Arial" w:cs="Arial"/>
          <w:sz w:val="18"/>
          <w:szCs w:val="18"/>
        </w:rPr>
        <w:t xml:space="preserve">, 2016; Tsai </w:t>
      </w:r>
      <w:proofErr w:type="gramStart"/>
      <w:r w:rsidRPr="00EF765F">
        <w:rPr>
          <w:rFonts w:ascii="Arial" w:hAnsi="Arial" w:cs="Arial"/>
          <w:sz w:val="18"/>
          <w:szCs w:val="18"/>
        </w:rPr>
        <w:t>et</w:t>
      </w:r>
      <w:proofErr w:type="gramEnd"/>
      <w:r w:rsidRPr="00EF765F">
        <w:rPr>
          <w:rFonts w:ascii="Arial" w:hAnsi="Arial" w:cs="Arial"/>
          <w:sz w:val="18"/>
          <w:szCs w:val="18"/>
        </w:rPr>
        <w:t>. al.,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15"/>
    <w:multiLevelType w:val="hybridMultilevel"/>
    <w:tmpl w:val="53B6D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B15FD6"/>
    <w:multiLevelType w:val="hybridMultilevel"/>
    <w:tmpl w:val="E13C58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21E90"/>
    <w:multiLevelType w:val="hybridMultilevel"/>
    <w:tmpl w:val="6078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730C3"/>
    <w:multiLevelType w:val="hybridMultilevel"/>
    <w:tmpl w:val="E8D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53051"/>
    <w:multiLevelType w:val="hybridMultilevel"/>
    <w:tmpl w:val="13BECC7E"/>
    <w:lvl w:ilvl="0" w:tplc="C1D475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566A6"/>
    <w:multiLevelType w:val="hybridMultilevel"/>
    <w:tmpl w:val="5CC80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C77C86"/>
    <w:multiLevelType w:val="hybridMultilevel"/>
    <w:tmpl w:val="D8E8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26196"/>
    <w:multiLevelType w:val="hybridMultilevel"/>
    <w:tmpl w:val="FE6AF1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480D86"/>
    <w:multiLevelType w:val="hybridMultilevel"/>
    <w:tmpl w:val="4F3ABBAC"/>
    <w:lvl w:ilvl="0" w:tplc="DCC0706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F19CB"/>
    <w:multiLevelType w:val="hybridMultilevel"/>
    <w:tmpl w:val="41B8BAF8"/>
    <w:lvl w:ilvl="0" w:tplc="368CF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D010E"/>
    <w:multiLevelType w:val="hybridMultilevel"/>
    <w:tmpl w:val="3A9E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5A6664"/>
    <w:multiLevelType w:val="hybridMultilevel"/>
    <w:tmpl w:val="C9AE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AB00AB"/>
    <w:multiLevelType w:val="hybridMultilevel"/>
    <w:tmpl w:val="AE06D2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A2F35"/>
    <w:multiLevelType w:val="multilevel"/>
    <w:tmpl w:val="8384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65057"/>
    <w:multiLevelType w:val="hybridMultilevel"/>
    <w:tmpl w:val="BFDE3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04B02"/>
    <w:multiLevelType w:val="hybridMultilevel"/>
    <w:tmpl w:val="07547086"/>
    <w:lvl w:ilvl="0" w:tplc="4970B3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C053C6"/>
    <w:multiLevelType w:val="hybridMultilevel"/>
    <w:tmpl w:val="44C4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B77748"/>
    <w:multiLevelType w:val="hybridMultilevel"/>
    <w:tmpl w:val="537ACB14"/>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82CE826">
      <w:numFmt w:val="bullet"/>
      <w:lvlText w:val=""/>
      <w:lvlJc w:val="left"/>
      <w:pPr>
        <w:ind w:left="4860" w:hanging="360"/>
      </w:pPr>
      <w:rPr>
        <w:rFonts w:ascii="Wingdings" w:eastAsiaTheme="minorHAnsi" w:hAnsi="Wingdings" w:cs="Arial" w:hint="default"/>
        <w:i/>
        <w:color w:val="auto"/>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FB0B23"/>
    <w:multiLevelType w:val="hybridMultilevel"/>
    <w:tmpl w:val="C330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FD6F16"/>
    <w:multiLevelType w:val="hybridMultilevel"/>
    <w:tmpl w:val="34006C8A"/>
    <w:lvl w:ilvl="0" w:tplc="BE2C1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8A5543"/>
    <w:multiLevelType w:val="hybridMultilevel"/>
    <w:tmpl w:val="EBC200A8"/>
    <w:lvl w:ilvl="0" w:tplc="37D406FA">
      <w:start w:val="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01D139C"/>
    <w:multiLevelType w:val="hybridMultilevel"/>
    <w:tmpl w:val="EA4A9974"/>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25179F"/>
    <w:multiLevelType w:val="hybridMultilevel"/>
    <w:tmpl w:val="D590AEE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541494C"/>
    <w:multiLevelType w:val="hybridMultilevel"/>
    <w:tmpl w:val="446C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E25DC"/>
    <w:multiLevelType w:val="hybridMultilevel"/>
    <w:tmpl w:val="E0C48500"/>
    <w:lvl w:ilvl="0" w:tplc="F75299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F3AC0"/>
    <w:multiLevelType w:val="hybridMultilevel"/>
    <w:tmpl w:val="4428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4B15A7"/>
    <w:multiLevelType w:val="hybridMultilevel"/>
    <w:tmpl w:val="7D98BEC2"/>
    <w:lvl w:ilvl="0" w:tplc="D59667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6330F"/>
    <w:multiLevelType w:val="hybridMultilevel"/>
    <w:tmpl w:val="0DD4F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275FCF"/>
    <w:multiLevelType w:val="hybridMultilevel"/>
    <w:tmpl w:val="9078E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E37BE2"/>
    <w:multiLevelType w:val="hybridMultilevel"/>
    <w:tmpl w:val="62E2D844"/>
    <w:lvl w:ilvl="0" w:tplc="4970B36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96533"/>
    <w:multiLevelType w:val="hybridMultilevel"/>
    <w:tmpl w:val="63E6F7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4D4C7F"/>
    <w:multiLevelType w:val="hybridMultilevel"/>
    <w:tmpl w:val="BB92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9D2F83"/>
    <w:multiLevelType w:val="hybridMultilevel"/>
    <w:tmpl w:val="C73CD0B6"/>
    <w:lvl w:ilvl="0" w:tplc="A62EC63E">
      <w:start w:val="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9"/>
  </w:num>
  <w:num w:numId="3">
    <w:abstractNumId w:val="5"/>
  </w:num>
  <w:num w:numId="4">
    <w:abstractNumId w:val="28"/>
  </w:num>
  <w:num w:numId="5">
    <w:abstractNumId w:val="4"/>
  </w:num>
  <w:num w:numId="6">
    <w:abstractNumId w:val="0"/>
  </w:num>
  <w:num w:numId="7">
    <w:abstractNumId w:val="16"/>
  </w:num>
  <w:num w:numId="8">
    <w:abstractNumId w:val="8"/>
  </w:num>
  <w:num w:numId="9">
    <w:abstractNumId w:val="21"/>
  </w:num>
  <w:num w:numId="10">
    <w:abstractNumId w:val="30"/>
  </w:num>
  <w:num w:numId="11">
    <w:abstractNumId w:val="7"/>
  </w:num>
  <w:num w:numId="12">
    <w:abstractNumId w:val="17"/>
  </w:num>
  <w:num w:numId="13">
    <w:abstractNumId w:val="12"/>
  </w:num>
  <w:num w:numId="14">
    <w:abstractNumId w:val="26"/>
  </w:num>
  <w:num w:numId="15">
    <w:abstractNumId w:val="32"/>
  </w:num>
  <w:num w:numId="16">
    <w:abstractNumId w:val="22"/>
  </w:num>
  <w:num w:numId="17">
    <w:abstractNumId w:val="20"/>
  </w:num>
  <w:num w:numId="18">
    <w:abstractNumId w:val="1"/>
  </w:num>
  <w:num w:numId="19">
    <w:abstractNumId w:val="13"/>
  </w:num>
  <w:num w:numId="20">
    <w:abstractNumId w:val="27"/>
  </w:num>
  <w:num w:numId="21">
    <w:abstractNumId w:val="6"/>
  </w:num>
  <w:num w:numId="22">
    <w:abstractNumId w:val="31"/>
  </w:num>
  <w:num w:numId="23">
    <w:abstractNumId w:val="10"/>
  </w:num>
  <w:num w:numId="24">
    <w:abstractNumId w:val="23"/>
  </w:num>
  <w:num w:numId="25">
    <w:abstractNumId w:val="14"/>
  </w:num>
  <w:num w:numId="26">
    <w:abstractNumId w:val="11"/>
  </w:num>
  <w:num w:numId="27">
    <w:abstractNumId w:val="24"/>
  </w:num>
  <w:num w:numId="28">
    <w:abstractNumId w:val="18"/>
  </w:num>
  <w:num w:numId="29">
    <w:abstractNumId w:val="25"/>
  </w:num>
  <w:num w:numId="30">
    <w:abstractNumId w:val="15"/>
  </w:num>
  <w:num w:numId="31">
    <w:abstractNumId w:val="29"/>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2B"/>
    <w:rsid w:val="0000546C"/>
    <w:rsid w:val="00007504"/>
    <w:rsid w:val="00007EFF"/>
    <w:rsid w:val="00014DC7"/>
    <w:rsid w:val="00024341"/>
    <w:rsid w:val="000245E1"/>
    <w:rsid w:val="00043A2A"/>
    <w:rsid w:val="00052301"/>
    <w:rsid w:val="000543DF"/>
    <w:rsid w:val="000611F9"/>
    <w:rsid w:val="00061673"/>
    <w:rsid w:val="00064EC1"/>
    <w:rsid w:val="00065025"/>
    <w:rsid w:val="00082EAB"/>
    <w:rsid w:val="0008403B"/>
    <w:rsid w:val="00086DC0"/>
    <w:rsid w:val="000916A6"/>
    <w:rsid w:val="00093C5B"/>
    <w:rsid w:val="000955D6"/>
    <w:rsid w:val="000A2199"/>
    <w:rsid w:val="000A6D82"/>
    <w:rsid w:val="000D0780"/>
    <w:rsid w:val="000D7AC8"/>
    <w:rsid w:val="000F72D6"/>
    <w:rsid w:val="001346F5"/>
    <w:rsid w:val="001643FF"/>
    <w:rsid w:val="00164C5C"/>
    <w:rsid w:val="001951E3"/>
    <w:rsid w:val="001A44F3"/>
    <w:rsid w:val="001C17B1"/>
    <w:rsid w:val="001D0890"/>
    <w:rsid w:val="001E4CCC"/>
    <w:rsid w:val="001E5620"/>
    <w:rsid w:val="001F298B"/>
    <w:rsid w:val="0021416D"/>
    <w:rsid w:val="002329D2"/>
    <w:rsid w:val="00242EC1"/>
    <w:rsid w:val="002654DA"/>
    <w:rsid w:val="00270C34"/>
    <w:rsid w:val="00292963"/>
    <w:rsid w:val="00297C78"/>
    <w:rsid w:val="002A17E3"/>
    <w:rsid w:val="002A2423"/>
    <w:rsid w:val="002A4611"/>
    <w:rsid w:val="002A77EF"/>
    <w:rsid w:val="002B3AF9"/>
    <w:rsid w:val="002C3172"/>
    <w:rsid w:val="002F3452"/>
    <w:rsid w:val="002F60CF"/>
    <w:rsid w:val="002F7723"/>
    <w:rsid w:val="00300C10"/>
    <w:rsid w:val="00326C09"/>
    <w:rsid w:val="0033323F"/>
    <w:rsid w:val="00346C0E"/>
    <w:rsid w:val="00362580"/>
    <w:rsid w:val="00362C3C"/>
    <w:rsid w:val="003652E2"/>
    <w:rsid w:val="00370CE4"/>
    <w:rsid w:val="003C3C7B"/>
    <w:rsid w:val="003D08A1"/>
    <w:rsid w:val="003D0E60"/>
    <w:rsid w:val="003D570F"/>
    <w:rsid w:val="003D6D10"/>
    <w:rsid w:val="003F789A"/>
    <w:rsid w:val="004046FA"/>
    <w:rsid w:val="004057B9"/>
    <w:rsid w:val="004275BD"/>
    <w:rsid w:val="004354A6"/>
    <w:rsid w:val="00436E80"/>
    <w:rsid w:val="00451486"/>
    <w:rsid w:val="00480DF9"/>
    <w:rsid w:val="004835E9"/>
    <w:rsid w:val="004943ED"/>
    <w:rsid w:val="004F0EC2"/>
    <w:rsid w:val="004F3FBF"/>
    <w:rsid w:val="004F48FB"/>
    <w:rsid w:val="00502276"/>
    <w:rsid w:val="005035ED"/>
    <w:rsid w:val="00514E07"/>
    <w:rsid w:val="00515F63"/>
    <w:rsid w:val="00531D3E"/>
    <w:rsid w:val="005470B6"/>
    <w:rsid w:val="005708BA"/>
    <w:rsid w:val="00575D40"/>
    <w:rsid w:val="005812F1"/>
    <w:rsid w:val="00597CB5"/>
    <w:rsid w:val="005A2E42"/>
    <w:rsid w:val="005C2118"/>
    <w:rsid w:val="005D6FAC"/>
    <w:rsid w:val="005E2B1D"/>
    <w:rsid w:val="005F3B42"/>
    <w:rsid w:val="00601802"/>
    <w:rsid w:val="00604BF0"/>
    <w:rsid w:val="00607EE5"/>
    <w:rsid w:val="0061034B"/>
    <w:rsid w:val="00612EBB"/>
    <w:rsid w:val="00614116"/>
    <w:rsid w:val="006154A8"/>
    <w:rsid w:val="00617202"/>
    <w:rsid w:val="00624A32"/>
    <w:rsid w:val="00640DCB"/>
    <w:rsid w:val="006450AC"/>
    <w:rsid w:val="00665BD6"/>
    <w:rsid w:val="00671BBA"/>
    <w:rsid w:val="0068525C"/>
    <w:rsid w:val="006856F8"/>
    <w:rsid w:val="006A1269"/>
    <w:rsid w:val="006A2DAE"/>
    <w:rsid w:val="006A6421"/>
    <w:rsid w:val="006B5541"/>
    <w:rsid w:val="006B58A8"/>
    <w:rsid w:val="006D2366"/>
    <w:rsid w:val="006E180C"/>
    <w:rsid w:val="006E2099"/>
    <w:rsid w:val="006F0E04"/>
    <w:rsid w:val="00700988"/>
    <w:rsid w:val="00700FA6"/>
    <w:rsid w:val="0070711E"/>
    <w:rsid w:val="007264D4"/>
    <w:rsid w:val="007337BB"/>
    <w:rsid w:val="0074540D"/>
    <w:rsid w:val="00762F74"/>
    <w:rsid w:val="00770522"/>
    <w:rsid w:val="00774B24"/>
    <w:rsid w:val="00780A2A"/>
    <w:rsid w:val="007A4BA6"/>
    <w:rsid w:val="007B1C42"/>
    <w:rsid w:val="007D220E"/>
    <w:rsid w:val="007E0545"/>
    <w:rsid w:val="007E3948"/>
    <w:rsid w:val="007F525A"/>
    <w:rsid w:val="007F7823"/>
    <w:rsid w:val="00806EF5"/>
    <w:rsid w:val="008177F1"/>
    <w:rsid w:val="0084524D"/>
    <w:rsid w:val="00852211"/>
    <w:rsid w:val="00854044"/>
    <w:rsid w:val="00855A05"/>
    <w:rsid w:val="00886FE4"/>
    <w:rsid w:val="0089293C"/>
    <w:rsid w:val="008C219A"/>
    <w:rsid w:val="008D14CC"/>
    <w:rsid w:val="008E7C91"/>
    <w:rsid w:val="008F62BA"/>
    <w:rsid w:val="009107D0"/>
    <w:rsid w:val="009178BF"/>
    <w:rsid w:val="00922A9F"/>
    <w:rsid w:val="00923A66"/>
    <w:rsid w:val="009570D7"/>
    <w:rsid w:val="009623BD"/>
    <w:rsid w:val="00973B2C"/>
    <w:rsid w:val="00975854"/>
    <w:rsid w:val="009825D7"/>
    <w:rsid w:val="009B165F"/>
    <w:rsid w:val="009D0CA4"/>
    <w:rsid w:val="009E134B"/>
    <w:rsid w:val="009E5F3C"/>
    <w:rsid w:val="009F3E99"/>
    <w:rsid w:val="00A02B78"/>
    <w:rsid w:val="00A060F9"/>
    <w:rsid w:val="00A0685E"/>
    <w:rsid w:val="00A24A6C"/>
    <w:rsid w:val="00A64A89"/>
    <w:rsid w:val="00A71636"/>
    <w:rsid w:val="00A74116"/>
    <w:rsid w:val="00AC0D88"/>
    <w:rsid w:val="00AC1B89"/>
    <w:rsid w:val="00AC4868"/>
    <w:rsid w:val="00AD379D"/>
    <w:rsid w:val="00AE35E8"/>
    <w:rsid w:val="00AF58C2"/>
    <w:rsid w:val="00B12F22"/>
    <w:rsid w:val="00B13A95"/>
    <w:rsid w:val="00B176F1"/>
    <w:rsid w:val="00B53324"/>
    <w:rsid w:val="00B53E8F"/>
    <w:rsid w:val="00B768C1"/>
    <w:rsid w:val="00B82C2B"/>
    <w:rsid w:val="00BA1D56"/>
    <w:rsid w:val="00BC4EC1"/>
    <w:rsid w:val="00BD5791"/>
    <w:rsid w:val="00BD6D19"/>
    <w:rsid w:val="00BE79E8"/>
    <w:rsid w:val="00C00C23"/>
    <w:rsid w:val="00C144B7"/>
    <w:rsid w:val="00C147AA"/>
    <w:rsid w:val="00C1754B"/>
    <w:rsid w:val="00C40613"/>
    <w:rsid w:val="00C47B34"/>
    <w:rsid w:val="00C5421A"/>
    <w:rsid w:val="00C741AD"/>
    <w:rsid w:val="00C74FA9"/>
    <w:rsid w:val="00C84B34"/>
    <w:rsid w:val="00C86D45"/>
    <w:rsid w:val="00C9309F"/>
    <w:rsid w:val="00C93173"/>
    <w:rsid w:val="00C94ADA"/>
    <w:rsid w:val="00CA09BD"/>
    <w:rsid w:val="00CB23DB"/>
    <w:rsid w:val="00CB5B01"/>
    <w:rsid w:val="00CC2F2F"/>
    <w:rsid w:val="00CC300B"/>
    <w:rsid w:val="00CD33BB"/>
    <w:rsid w:val="00CD7659"/>
    <w:rsid w:val="00CF236F"/>
    <w:rsid w:val="00CF4181"/>
    <w:rsid w:val="00D06400"/>
    <w:rsid w:val="00D111ED"/>
    <w:rsid w:val="00D168B9"/>
    <w:rsid w:val="00D33E63"/>
    <w:rsid w:val="00D41A4B"/>
    <w:rsid w:val="00D4294A"/>
    <w:rsid w:val="00D4662B"/>
    <w:rsid w:val="00D66CB9"/>
    <w:rsid w:val="00D7065D"/>
    <w:rsid w:val="00D71A96"/>
    <w:rsid w:val="00D85B12"/>
    <w:rsid w:val="00DB5925"/>
    <w:rsid w:val="00DC0BD5"/>
    <w:rsid w:val="00DC6F91"/>
    <w:rsid w:val="00DD10FF"/>
    <w:rsid w:val="00DE7E6E"/>
    <w:rsid w:val="00DF18C3"/>
    <w:rsid w:val="00DF49AE"/>
    <w:rsid w:val="00E27B97"/>
    <w:rsid w:val="00E51149"/>
    <w:rsid w:val="00E53F40"/>
    <w:rsid w:val="00E60436"/>
    <w:rsid w:val="00E61A3E"/>
    <w:rsid w:val="00E61A9B"/>
    <w:rsid w:val="00E71015"/>
    <w:rsid w:val="00E86934"/>
    <w:rsid w:val="00E91882"/>
    <w:rsid w:val="00E93449"/>
    <w:rsid w:val="00EA7762"/>
    <w:rsid w:val="00EB115D"/>
    <w:rsid w:val="00EC1918"/>
    <w:rsid w:val="00EC25F1"/>
    <w:rsid w:val="00ED61B9"/>
    <w:rsid w:val="00EE03F4"/>
    <w:rsid w:val="00EF21D0"/>
    <w:rsid w:val="00EF765F"/>
    <w:rsid w:val="00F125D1"/>
    <w:rsid w:val="00F34F06"/>
    <w:rsid w:val="00F5161E"/>
    <w:rsid w:val="00F51DF9"/>
    <w:rsid w:val="00F627FF"/>
    <w:rsid w:val="00F63EF2"/>
    <w:rsid w:val="00F659BB"/>
    <w:rsid w:val="00F7563D"/>
    <w:rsid w:val="00F86578"/>
    <w:rsid w:val="00FA23B7"/>
    <w:rsid w:val="00FA6FD3"/>
    <w:rsid w:val="00FB512A"/>
    <w:rsid w:val="00FC302B"/>
    <w:rsid w:val="00FD38D8"/>
    <w:rsid w:val="00FD5CA3"/>
    <w:rsid w:val="00FD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447BF"/>
  <w15:docId w15:val="{ABF30D8A-C78D-404A-846E-6095DCFA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paragraph" w:styleId="Heading1">
    <w:name w:val="heading 1"/>
    <w:basedOn w:val="Normal"/>
    <w:next w:val="Normal"/>
    <w:link w:val="Heading1Char"/>
    <w:uiPriority w:val="9"/>
    <w:qFormat/>
    <w:rsid w:val="00164C5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D2366"/>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semiHidden/>
    <w:unhideWhenUsed/>
    <w:qFormat/>
    <w:rsid w:val="006D2366"/>
    <w:pPr>
      <w:spacing w:before="100" w:beforeAutospacing="1" w:after="100" w:afterAutospacing="1"/>
      <w:outlineLvl w:val="3"/>
    </w:pPr>
    <w:rPr>
      <w:rFonts w:ascii="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C2B"/>
    <w:rPr>
      <w:rFonts w:ascii="Tahoma" w:hAnsi="Tahoma" w:cs="Tahoma"/>
      <w:sz w:val="16"/>
      <w:szCs w:val="16"/>
    </w:rPr>
  </w:style>
  <w:style w:type="character" w:customStyle="1" w:styleId="BalloonTextChar">
    <w:name w:val="Balloon Text Char"/>
    <w:basedOn w:val="DefaultParagraphFont"/>
    <w:link w:val="BalloonText"/>
    <w:uiPriority w:val="99"/>
    <w:semiHidden/>
    <w:rsid w:val="00B82C2B"/>
    <w:rPr>
      <w:rFonts w:ascii="Tahoma" w:hAnsi="Tahoma" w:cs="Tahoma"/>
      <w:sz w:val="16"/>
      <w:szCs w:val="16"/>
    </w:rPr>
  </w:style>
  <w:style w:type="paragraph" w:styleId="ListParagraph">
    <w:name w:val="List Paragraph"/>
    <w:basedOn w:val="Normal"/>
    <w:uiPriority w:val="34"/>
    <w:qFormat/>
    <w:rsid w:val="00665BD6"/>
    <w:pPr>
      <w:ind w:left="720"/>
      <w:contextualSpacing/>
    </w:pPr>
  </w:style>
  <w:style w:type="paragraph" w:styleId="Header">
    <w:name w:val="header"/>
    <w:basedOn w:val="Normal"/>
    <w:link w:val="HeaderChar"/>
    <w:uiPriority w:val="99"/>
    <w:unhideWhenUsed/>
    <w:rsid w:val="0008403B"/>
    <w:pPr>
      <w:tabs>
        <w:tab w:val="center" w:pos="4680"/>
        <w:tab w:val="right" w:pos="9360"/>
      </w:tabs>
    </w:pPr>
  </w:style>
  <w:style w:type="character" w:customStyle="1" w:styleId="HeaderChar">
    <w:name w:val="Header Char"/>
    <w:basedOn w:val="DefaultParagraphFont"/>
    <w:link w:val="Header"/>
    <w:uiPriority w:val="99"/>
    <w:rsid w:val="0008403B"/>
  </w:style>
  <w:style w:type="paragraph" w:styleId="Footer">
    <w:name w:val="footer"/>
    <w:basedOn w:val="Normal"/>
    <w:link w:val="FooterChar"/>
    <w:uiPriority w:val="99"/>
    <w:unhideWhenUsed/>
    <w:rsid w:val="0008403B"/>
    <w:pPr>
      <w:tabs>
        <w:tab w:val="center" w:pos="4680"/>
        <w:tab w:val="right" w:pos="9360"/>
      </w:tabs>
    </w:pPr>
  </w:style>
  <w:style w:type="character" w:customStyle="1" w:styleId="FooterChar">
    <w:name w:val="Footer Char"/>
    <w:basedOn w:val="DefaultParagraphFont"/>
    <w:link w:val="Footer"/>
    <w:uiPriority w:val="99"/>
    <w:rsid w:val="0008403B"/>
  </w:style>
  <w:style w:type="paragraph" w:styleId="PlainText">
    <w:name w:val="Plain Text"/>
    <w:basedOn w:val="Normal"/>
    <w:link w:val="PlainTextChar"/>
    <w:uiPriority w:val="99"/>
    <w:unhideWhenUsed/>
    <w:rsid w:val="006E2099"/>
    <w:rPr>
      <w:rFonts w:ascii="Consolas" w:hAnsi="Consolas" w:cstheme="minorBidi"/>
      <w:sz w:val="21"/>
      <w:szCs w:val="21"/>
    </w:rPr>
  </w:style>
  <w:style w:type="character" w:customStyle="1" w:styleId="PlainTextChar">
    <w:name w:val="Plain Text Char"/>
    <w:basedOn w:val="DefaultParagraphFont"/>
    <w:link w:val="PlainText"/>
    <w:uiPriority w:val="99"/>
    <w:rsid w:val="006E2099"/>
    <w:rPr>
      <w:rFonts w:ascii="Consolas" w:hAnsi="Consolas" w:cstheme="minorBidi"/>
      <w:sz w:val="21"/>
      <w:szCs w:val="21"/>
    </w:rPr>
  </w:style>
  <w:style w:type="character" w:styleId="Hyperlink">
    <w:name w:val="Hyperlink"/>
    <w:basedOn w:val="DefaultParagraphFont"/>
    <w:uiPriority w:val="99"/>
    <w:unhideWhenUsed/>
    <w:rsid w:val="006E2099"/>
    <w:rPr>
      <w:color w:val="0563C1"/>
      <w:u w:val="single"/>
    </w:rPr>
  </w:style>
  <w:style w:type="character" w:customStyle="1" w:styleId="Heading2Char">
    <w:name w:val="Heading 2 Char"/>
    <w:basedOn w:val="DefaultParagraphFont"/>
    <w:link w:val="Heading2"/>
    <w:uiPriority w:val="9"/>
    <w:semiHidden/>
    <w:rsid w:val="006D2366"/>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6D2366"/>
    <w:rPr>
      <w:rFonts w:ascii="Times New Roman" w:hAnsi="Times New Roman" w:cs="Times New Roman"/>
      <w:b/>
      <w:bCs/>
      <w:szCs w:val="24"/>
    </w:rPr>
  </w:style>
  <w:style w:type="paragraph" w:styleId="NormalWeb">
    <w:name w:val="Normal (Web)"/>
    <w:basedOn w:val="Normal"/>
    <w:uiPriority w:val="99"/>
    <w:semiHidden/>
    <w:unhideWhenUsed/>
    <w:rsid w:val="006D2366"/>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164C5C"/>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AF58C2"/>
    <w:pPr>
      <w:numPr>
        <w:ilvl w:val="1"/>
      </w:numPr>
      <w:spacing w:after="160" w:line="259" w:lineRule="auto"/>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F58C2"/>
    <w:rPr>
      <w:rFonts w:asciiTheme="minorHAnsi" w:eastAsiaTheme="minorEastAsia" w:hAnsiTheme="minorHAnsi" w:cstheme="minorBidi"/>
      <w:color w:val="5A5A5A" w:themeColor="text1" w:themeTint="A5"/>
      <w:spacing w:val="15"/>
      <w:sz w:val="22"/>
    </w:rPr>
  </w:style>
  <w:style w:type="paragraph" w:styleId="CommentText">
    <w:name w:val="annotation text"/>
    <w:basedOn w:val="Normal"/>
    <w:link w:val="CommentTextChar"/>
    <w:uiPriority w:val="99"/>
    <w:unhideWhenUsed/>
    <w:rsid w:val="005D6FAC"/>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D6FAC"/>
    <w:rPr>
      <w:rFonts w:asciiTheme="minorHAnsi" w:hAnsiTheme="minorHAnsi" w:cstheme="minorBidi"/>
      <w:sz w:val="20"/>
      <w:szCs w:val="20"/>
    </w:rPr>
  </w:style>
  <w:style w:type="paragraph" w:styleId="FootnoteText">
    <w:name w:val="footnote text"/>
    <w:basedOn w:val="Normal"/>
    <w:link w:val="FootnoteTextChar"/>
    <w:uiPriority w:val="99"/>
    <w:semiHidden/>
    <w:unhideWhenUsed/>
    <w:rsid w:val="006B554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B554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B5541"/>
    <w:rPr>
      <w:vertAlign w:val="superscript"/>
    </w:rPr>
  </w:style>
  <w:style w:type="character" w:styleId="CommentReference">
    <w:name w:val="annotation reference"/>
    <w:basedOn w:val="DefaultParagraphFont"/>
    <w:uiPriority w:val="99"/>
    <w:semiHidden/>
    <w:unhideWhenUsed/>
    <w:rsid w:val="00C00C23"/>
    <w:rPr>
      <w:sz w:val="16"/>
      <w:szCs w:val="16"/>
    </w:rPr>
  </w:style>
  <w:style w:type="paragraph" w:styleId="CommentSubject">
    <w:name w:val="annotation subject"/>
    <w:basedOn w:val="CommentText"/>
    <w:next w:val="CommentText"/>
    <w:link w:val="CommentSubjectChar"/>
    <w:uiPriority w:val="99"/>
    <w:semiHidden/>
    <w:unhideWhenUsed/>
    <w:rsid w:val="00C00C23"/>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C00C23"/>
    <w:rPr>
      <w:rFonts w:asciiTheme="minorHAnsi" w:hAnsiTheme="minorHAnsi" w:cstheme="minorBidi"/>
      <w:b/>
      <w:bCs/>
      <w:sz w:val="20"/>
      <w:szCs w:val="20"/>
    </w:rPr>
  </w:style>
  <w:style w:type="paragraph" w:styleId="NoSpacing">
    <w:name w:val="No Spacing"/>
    <w:uiPriority w:val="1"/>
    <w:qFormat/>
    <w:rsid w:val="00FA6FD3"/>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5370">
      <w:bodyDiv w:val="1"/>
      <w:marLeft w:val="0"/>
      <w:marRight w:val="0"/>
      <w:marTop w:val="0"/>
      <w:marBottom w:val="0"/>
      <w:divBdr>
        <w:top w:val="none" w:sz="0" w:space="0" w:color="auto"/>
        <w:left w:val="none" w:sz="0" w:space="0" w:color="auto"/>
        <w:bottom w:val="none" w:sz="0" w:space="0" w:color="auto"/>
        <w:right w:val="none" w:sz="0" w:space="0" w:color="auto"/>
      </w:divBdr>
    </w:div>
    <w:div w:id="1325938580">
      <w:bodyDiv w:val="1"/>
      <w:marLeft w:val="0"/>
      <w:marRight w:val="0"/>
      <w:marTop w:val="0"/>
      <w:marBottom w:val="0"/>
      <w:divBdr>
        <w:top w:val="none" w:sz="0" w:space="0" w:color="auto"/>
        <w:left w:val="none" w:sz="0" w:space="0" w:color="auto"/>
        <w:bottom w:val="none" w:sz="0" w:space="0" w:color="auto"/>
        <w:right w:val="none" w:sz="0" w:space="0" w:color="auto"/>
      </w:divBdr>
    </w:div>
    <w:div w:id="18156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733E-C9D1-4EB7-968F-D17A3A07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dexter mejia</dc:creator>
  <cp:lastModifiedBy>Englert, Jeanne</cp:lastModifiedBy>
  <cp:revision>3</cp:revision>
  <cp:lastPrinted>2017-08-17T17:35:00Z</cp:lastPrinted>
  <dcterms:created xsi:type="dcterms:W3CDTF">2021-03-31T06:01:00Z</dcterms:created>
  <dcterms:modified xsi:type="dcterms:W3CDTF">2021-03-31T06:03:00Z</dcterms:modified>
</cp:coreProperties>
</file>