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649" w:rsidRDefault="001B2649" w:rsidP="001B2649">
      <w:pPr>
        <w:spacing w:after="0"/>
        <w:jc w:val="center"/>
        <w:rPr>
          <w:rFonts w:ascii="Times New Roman" w:hAnsi="Times New Roman" w:cs="Times New Roman"/>
          <w:b/>
          <w:bCs/>
          <w:sz w:val="24"/>
          <w:szCs w:val="24"/>
        </w:rPr>
      </w:pPr>
      <w:r>
        <w:rPr>
          <w:rFonts w:ascii="Times New Roman" w:hAnsi="Times New Roman" w:cs="Times New Roman"/>
          <w:b/>
          <w:bCs/>
          <w:sz w:val="24"/>
          <w:szCs w:val="24"/>
        </w:rPr>
        <w:t>SUGGESTED [NEW] GENERAL RULE</w:t>
      </w:r>
      <w:r w:rsidR="00E12333">
        <w:rPr>
          <w:rFonts w:ascii="Times New Roman" w:hAnsi="Times New Roman" w:cs="Times New Roman"/>
          <w:b/>
          <w:bCs/>
          <w:sz w:val="24"/>
          <w:szCs w:val="24"/>
        </w:rPr>
        <w:t xml:space="preserve"> 40</w:t>
      </w:r>
      <w:bookmarkStart w:id="0" w:name="_GoBack"/>
      <w:bookmarkEnd w:id="0"/>
    </w:p>
    <w:p w:rsidR="001B2649" w:rsidRDefault="001B2649" w:rsidP="001B2649">
      <w:pPr>
        <w:spacing w:after="0"/>
        <w:jc w:val="center"/>
        <w:rPr>
          <w:rFonts w:ascii="Times New Roman" w:hAnsi="Times New Roman" w:cs="Times New Roman"/>
          <w:b/>
          <w:bCs/>
          <w:sz w:val="24"/>
          <w:szCs w:val="24"/>
        </w:rPr>
      </w:pPr>
    </w:p>
    <w:p w:rsidR="001B2649" w:rsidRDefault="001B2649" w:rsidP="001B2649">
      <w:pPr>
        <w:spacing w:after="0"/>
        <w:jc w:val="center"/>
        <w:rPr>
          <w:rFonts w:ascii="Times New Roman" w:hAnsi="Times New Roman" w:cs="Times New Roman"/>
          <w:b/>
          <w:bCs/>
          <w:sz w:val="24"/>
          <w:szCs w:val="24"/>
        </w:rPr>
      </w:pPr>
      <w:r w:rsidRPr="001B2649">
        <w:rPr>
          <w:rFonts w:ascii="Times New Roman" w:hAnsi="Times New Roman" w:cs="Times New Roman"/>
          <w:b/>
          <w:bCs/>
          <w:sz w:val="24"/>
          <w:szCs w:val="24"/>
        </w:rPr>
        <w:t xml:space="preserve">INFORMAL DOMESTIC RELATIONS TRIAL </w:t>
      </w:r>
    </w:p>
    <w:p w:rsidR="001B2649" w:rsidRPr="001B2649" w:rsidRDefault="001B2649" w:rsidP="001B2649">
      <w:pPr>
        <w:spacing w:after="0"/>
        <w:jc w:val="center"/>
        <w:rPr>
          <w:rFonts w:ascii="Times New Roman" w:hAnsi="Times New Roman" w:cs="Times New Roman"/>
          <w:b/>
          <w:bCs/>
          <w:sz w:val="24"/>
          <w:szCs w:val="24"/>
        </w:rPr>
      </w:pPr>
      <w:r w:rsidRPr="001B2649">
        <w:rPr>
          <w:rFonts w:ascii="Times New Roman" w:hAnsi="Times New Roman" w:cs="Times New Roman"/>
          <w:b/>
          <w:bCs/>
          <w:sz w:val="24"/>
          <w:szCs w:val="24"/>
        </w:rPr>
        <w:t>(IDRT)</w:t>
      </w:r>
    </w:p>
    <w:p w:rsidR="001B2649" w:rsidRPr="001B2649" w:rsidRDefault="001B2649" w:rsidP="001B2649">
      <w:pPr>
        <w:spacing w:after="0"/>
        <w:rPr>
          <w:rFonts w:ascii="Times New Roman" w:hAnsi="Times New Roman" w:cs="Times New Roman"/>
          <w:sz w:val="24"/>
          <w:szCs w:val="24"/>
        </w:rPr>
      </w:pPr>
    </w:p>
    <w:p w:rsidR="001B2649" w:rsidRPr="001B2649" w:rsidRDefault="001B2649" w:rsidP="001B2649">
      <w:pPr>
        <w:ind w:firstLine="720"/>
        <w:rPr>
          <w:rFonts w:ascii="Times New Roman" w:hAnsi="Times New Roman" w:cs="Times New Roman"/>
          <w:sz w:val="24"/>
          <w:szCs w:val="24"/>
        </w:rPr>
      </w:pPr>
      <w:r w:rsidRPr="001B2649">
        <w:rPr>
          <w:rFonts w:ascii="Times New Roman" w:hAnsi="Times New Roman" w:cs="Times New Roman"/>
          <w:b/>
          <w:sz w:val="24"/>
          <w:szCs w:val="24"/>
        </w:rPr>
        <w:t>(1)</w:t>
      </w:r>
      <w:r w:rsidRPr="001B2649">
        <w:rPr>
          <w:rFonts w:ascii="Times New Roman" w:hAnsi="Times New Roman" w:cs="Times New Roman"/>
          <w:sz w:val="24"/>
          <w:szCs w:val="24"/>
        </w:rPr>
        <w:t xml:space="preserve"> Upon the consent of both parties, Informal Domestic Relations Trials</w:t>
      </w:r>
      <w:r>
        <w:rPr>
          <w:rFonts w:ascii="Times New Roman" w:hAnsi="Times New Roman" w:cs="Times New Roman"/>
          <w:sz w:val="24"/>
          <w:szCs w:val="24"/>
        </w:rPr>
        <w:t xml:space="preserve"> (IDRT)</w:t>
      </w:r>
      <w:r w:rsidRPr="001B2649">
        <w:rPr>
          <w:rFonts w:ascii="Times New Roman" w:hAnsi="Times New Roman" w:cs="Times New Roman"/>
          <w:sz w:val="24"/>
          <w:szCs w:val="24"/>
        </w:rPr>
        <w:t xml:space="preserve"> may be held to resolve any or all issues in original actions or modification for dissolution of marriage, separate maintenance, invalidity, child support, parenting plans, residential schedules, and child custody filed under chapters 26.09; 26.19; 26.26A; 26.26B; and 26.27</w:t>
      </w:r>
      <w:r>
        <w:rPr>
          <w:rFonts w:ascii="Times New Roman" w:hAnsi="Times New Roman" w:cs="Times New Roman"/>
          <w:sz w:val="24"/>
          <w:szCs w:val="24"/>
        </w:rPr>
        <w:t xml:space="preserve"> </w:t>
      </w:r>
      <w:r w:rsidRPr="001B2649">
        <w:rPr>
          <w:rFonts w:ascii="Times New Roman" w:hAnsi="Times New Roman" w:cs="Times New Roman"/>
          <w:sz w:val="24"/>
          <w:szCs w:val="24"/>
        </w:rPr>
        <w:t>RCW.</w:t>
      </w:r>
    </w:p>
    <w:p w:rsidR="001B2649" w:rsidRPr="001B2649" w:rsidRDefault="001B2649" w:rsidP="001B2649">
      <w:pPr>
        <w:ind w:firstLine="720"/>
        <w:rPr>
          <w:rFonts w:ascii="Times New Roman" w:hAnsi="Times New Roman" w:cs="Times New Roman"/>
          <w:sz w:val="24"/>
          <w:szCs w:val="24"/>
        </w:rPr>
      </w:pPr>
      <w:r w:rsidRPr="001B2649">
        <w:rPr>
          <w:rFonts w:ascii="Times New Roman" w:hAnsi="Times New Roman" w:cs="Times New Roman"/>
          <w:b/>
          <w:sz w:val="24"/>
          <w:szCs w:val="24"/>
        </w:rPr>
        <w:t>(2)</w:t>
      </w:r>
      <w:r w:rsidRPr="001B2649">
        <w:rPr>
          <w:rFonts w:ascii="Times New Roman" w:hAnsi="Times New Roman" w:cs="Times New Roman"/>
          <w:sz w:val="24"/>
          <w:szCs w:val="24"/>
        </w:rPr>
        <w:t xml:space="preserve"> The parties may select an </w:t>
      </w:r>
      <w:r>
        <w:rPr>
          <w:rFonts w:ascii="Times New Roman" w:hAnsi="Times New Roman" w:cs="Times New Roman"/>
          <w:sz w:val="24"/>
          <w:szCs w:val="24"/>
        </w:rPr>
        <w:t>IDRT</w:t>
      </w:r>
      <w:r w:rsidRPr="001B2649">
        <w:rPr>
          <w:rFonts w:ascii="Times New Roman" w:hAnsi="Times New Roman" w:cs="Times New Roman"/>
          <w:sz w:val="24"/>
          <w:szCs w:val="24"/>
        </w:rPr>
        <w:t xml:space="preserve"> within 14 days of a case subject to this rule being at issue. The parties must file a Trial Process Selection and Waiver for </w:t>
      </w:r>
      <w:r>
        <w:rPr>
          <w:rFonts w:ascii="Times New Roman" w:hAnsi="Times New Roman" w:cs="Times New Roman"/>
          <w:sz w:val="24"/>
          <w:szCs w:val="24"/>
        </w:rPr>
        <w:t xml:space="preserve">IDRT </w:t>
      </w:r>
      <w:r w:rsidRPr="001B2649">
        <w:rPr>
          <w:rFonts w:ascii="Times New Roman" w:hAnsi="Times New Roman" w:cs="Times New Roman"/>
          <w:sz w:val="24"/>
          <w:szCs w:val="24"/>
        </w:rPr>
        <w:t>in substantially the form specified at __________. This</w:t>
      </w:r>
      <w:r>
        <w:rPr>
          <w:rFonts w:ascii="Times New Roman" w:hAnsi="Times New Roman" w:cs="Times New Roman"/>
          <w:sz w:val="24"/>
          <w:szCs w:val="24"/>
        </w:rPr>
        <w:t xml:space="preserve"> form must be accepted by all superior c</w:t>
      </w:r>
      <w:r w:rsidRPr="001B2649">
        <w:rPr>
          <w:rFonts w:ascii="Times New Roman" w:hAnsi="Times New Roman" w:cs="Times New Roman"/>
          <w:sz w:val="24"/>
          <w:szCs w:val="24"/>
        </w:rPr>
        <w:t xml:space="preserve">ourts. </w:t>
      </w:r>
    </w:p>
    <w:p w:rsidR="001B2649" w:rsidRPr="001B2649" w:rsidRDefault="001B2649" w:rsidP="001B2649">
      <w:pPr>
        <w:ind w:firstLine="720"/>
        <w:rPr>
          <w:rFonts w:ascii="Times New Roman" w:hAnsi="Times New Roman" w:cs="Times New Roman"/>
          <w:sz w:val="24"/>
          <w:szCs w:val="24"/>
        </w:rPr>
      </w:pPr>
      <w:r w:rsidRPr="001B2649">
        <w:rPr>
          <w:rFonts w:ascii="Times New Roman" w:hAnsi="Times New Roman" w:cs="Times New Roman"/>
          <w:b/>
          <w:sz w:val="24"/>
          <w:szCs w:val="24"/>
        </w:rPr>
        <w:t>(3)</w:t>
      </w:r>
      <w:r w:rsidRPr="001B2649">
        <w:rPr>
          <w:rFonts w:ascii="Times New Roman" w:hAnsi="Times New Roman" w:cs="Times New Roman"/>
          <w:sz w:val="24"/>
          <w:szCs w:val="24"/>
        </w:rPr>
        <w:t xml:space="preserve"> The </w:t>
      </w:r>
      <w:r>
        <w:rPr>
          <w:rFonts w:ascii="Times New Roman" w:hAnsi="Times New Roman" w:cs="Times New Roman"/>
          <w:sz w:val="24"/>
          <w:szCs w:val="24"/>
        </w:rPr>
        <w:t>IDRT</w:t>
      </w:r>
      <w:r w:rsidRPr="001B2649">
        <w:rPr>
          <w:rFonts w:ascii="Times New Roman" w:hAnsi="Times New Roman" w:cs="Times New Roman"/>
          <w:sz w:val="24"/>
          <w:szCs w:val="24"/>
        </w:rPr>
        <w:t xml:space="preserve"> will be conducted as follows:</w:t>
      </w:r>
    </w:p>
    <w:p w:rsidR="001B2649" w:rsidRPr="001B2649" w:rsidRDefault="001B2649" w:rsidP="001B2649">
      <w:pPr>
        <w:ind w:firstLine="720"/>
        <w:rPr>
          <w:rFonts w:ascii="Times New Roman" w:hAnsi="Times New Roman" w:cs="Times New Roman"/>
          <w:sz w:val="24"/>
          <w:szCs w:val="24"/>
        </w:rPr>
      </w:pPr>
      <w:r w:rsidRPr="001B2649">
        <w:rPr>
          <w:rFonts w:ascii="Times New Roman" w:hAnsi="Times New Roman" w:cs="Times New Roman"/>
          <w:sz w:val="24"/>
          <w:szCs w:val="24"/>
        </w:rPr>
        <w:t xml:space="preserve">(a) At the beginning of an </w:t>
      </w:r>
      <w:r>
        <w:rPr>
          <w:rFonts w:ascii="Times New Roman" w:hAnsi="Times New Roman" w:cs="Times New Roman"/>
          <w:sz w:val="24"/>
          <w:szCs w:val="24"/>
        </w:rPr>
        <w:t>IDRT,</w:t>
      </w:r>
      <w:r w:rsidRPr="001B2649">
        <w:rPr>
          <w:rFonts w:ascii="Times New Roman" w:hAnsi="Times New Roman" w:cs="Times New Roman"/>
          <w:sz w:val="24"/>
          <w:szCs w:val="24"/>
        </w:rPr>
        <w:t xml:space="preserve"> the parties will be asked to affirm that they understand the rules and procedures of the </w:t>
      </w:r>
      <w:r>
        <w:rPr>
          <w:rFonts w:ascii="Times New Roman" w:hAnsi="Times New Roman" w:cs="Times New Roman"/>
          <w:sz w:val="24"/>
          <w:szCs w:val="24"/>
        </w:rPr>
        <w:t>IDRT</w:t>
      </w:r>
      <w:r w:rsidRPr="001B2649">
        <w:rPr>
          <w:rFonts w:ascii="Times New Roman" w:hAnsi="Times New Roman" w:cs="Times New Roman"/>
          <w:sz w:val="24"/>
          <w:szCs w:val="24"/>
        </w:rPr>
        <w:t xml:space="preserve"> process, they are consenting to this process freely and voluntarily, and they have not been threatened or promised anything for agreeing to the </w:t>
      </w:r>
      <w:r>
        <w:rPr>
          <w:rFonts w:ascii="Times New Roman" w:hAnsi="Times New Roman" w:cs="Times New Roman"/>
          <w:sz w:val="24"/>
          <w:szCs w:val="24"/>
        </w:rPr>
        <w:t>IDRT</w:t>
      </w:r>
      <w:r w:rsidRPr="001B2649">
        <w:rPr>
          <w:rFonts w:ascii="Times New Roman" w:hAnsi="Times New Roman" w:cs="Times New Roman"/>
          <w:sz w:val="24"/>
          <w:szCs w:val="24"/>
        </w:rPr>
        <w:t xml:space="preserve"> process.</w:t>
      </w:r>
    </w:p>
    <w:p w:rsidR="001B2649" w:rsidRPr="001B2649" w:rsidRDefault="001B2649" w:rsidP="001B2649">
      <w:pPr>
        <w:ind w:firstLine="720"/>
        <w:rPr>
          <w:rFonts w:ascii="Times New Roman" w:hAnsi="Times New Roman" w:cs="Times New Roman"/>
          <w:sz w:val="24"/>
          <w:szCs w:val="24"/>
        </w:rPr>
      </w:pPr>
      <w:r w:rsidRPr="001B2649">
        <w:rPr>
          <w:rFonts w:ascii="Times New Roman" w:hAnsi="Times New Roman" w:cs="Times New Roman"/>
          <w:sz w:val="24"/>
          <w:szCs w:val="24"/>
        </w:rPr>
        <w:t>(b) The Court may ask the parties or their lawyers for a brief summary of the issues to be decided.</w:t>
      </w:r>
    </w:p>
    <w:p w:rsidR="001B2649" w:rsidRPr="001B2649" w:rsidRDefault="001B2649" w:rsidP="001B2649">
      <w:pPr>
        <w:ind w:firstLine="720"/>
        <w:rPr>
          <w:rFonts w:ascii="Times New Roman" w:hAnsi="Times New Roman" w:cs="Times New Roman"/>
          <w:sz w:val="24"/>
          <w:szCs w:val="24"/>
        </w:rPr>
      </w:pPr>
      <w:r w:rsidRPr="001B2649">
        <w:rPr>
          <w:rFonts w:ascii="Times New Roman" w:hAnsi="Times New Roman" w:cs="Times New Roman"/>
          <w:sz w:val="24"/>
          <w:szCs w:val="24"/>
        </w:rPr>
        <w:t xml:space="preserve">(c) The moving party will be allowed to speak to the Court under oath concerning all issues in dispute. The party is not questioned by counsel, but may be questioned by the Court to develop evidence required by any statute or rule, for example, the applicable requirements of the Washington </w:t>
      </w:r>
      <w:r w:rsidR="00C41EA2">
        <w:rPr>
          <w:rFonts w:ascii="Times New Roman" w:hAnsi="Times New Roman" w:cs="Times New Roman"/>
          <w:sz w:val="24"/>
          <w:szCs w:val="24"/>
        </w:rPr>
        <w:t xml:space="preserve">State </w:t>
      </w:r>
      <w:r w:rsidRPr="001B2649">
        <w:rPr>
          <w:rFonts w:ascii="Times New Roman" w:hAnsi="Times New Roman" w:cs="Times New Roman"/>
          <w:sz w:val="24"/>
          <w:szCs w:val="24"/>
        </w:rPr>
        <w:t xml:space="preserve">Child Support </w:t>
      </w:r>
      <w:r w:rsidR="00C41EA2">
        <w:rPr>
          <w:rFonts w:ascii="Times New Roman" w:hAnsi="Times New Roman" w:cs="Times New Roman"/>
          <w:sz w:val="24"/>
          <w:szCs w:val="24"/>
        </w:rPr>
        <w:t>Schedule</w:t>
      </w:r>
      <w:r w:rsidRPr="001B2649">
        <w:rPr>
          <w:rFonts w:ascii="Times New Roman" w:hAnsi="Times New Roman" w:cs="Times New Roman"/>
          <w:sz w:val="24"/>
          <w:szCs w:val="24"/>
        </w:rPr>
        <w:t xml:space="preserve"> if child support is at issue.</w:t>
      </w:r>
    </w:p>
    <w:p w:rsidR="001B2649" w:rsidRPr="001B2649" w:rsidRDefault="001B2649" w:rsidP="001B2649">
      <w:pPr>
        <w:ind w:firstLine="720"/>
        <w:rPr>
          <w:rFonts w:ascii="Times New Roman" w:hAnsi="Times New Roman" w:cs="Times New Roman"/>
          <w:sz w:val="24"/>
          <w:szCs w:val="24"/>
        </w:rPr>
      </w:pPr>
      <w:r w:rsidRPr="001B2649">
        <w:rPr>
          <w:rFonts w:ascii="Times New Roman" w:hAnsi="Times New Roman" w:cs="Times New Roman"/>
          <w:sz w:val="24"/>
          <w:szCs w:val="24"/>
        </w:rPr>
        <w:t>(d) The parti</w:t>
      </w:r>
      <w:r w:rsidR="00C41EA2">
        <w:rPr>
          <w:rFonts w:ascii="Times New Roman" w:hAnsi="Times New Roman" w:cs="Times New Roman"/>
          <w:sz w:val="24"/>
          <w:szCs w:val="24"/>
        </w:rPr>
        <w:t>es will not be subject to cross-</w:t>
      </w:r>
      <w:r w:rsidRPr="001B2649">
        <w:rPr>
          <w:rFonts w:ascii="Times New Roman" w:hAnsi="Times New Roman" w:cs="Times New Roman"/>
          <w:sz w:val="24"/>
          <w:szCs w:val="24"/>
        </w:rPr>
        <w:t xml:space="preserve">examination. However, the Court will ask the </w:t>
      </w:r>
      <w:r w:rsidR="00C41EA2">
        <w:rPr>
          <w:rFonts w:ascii="Times New Roman" w:hAnsi="Times New Roman" w:cs="Times New Roman"/>
          <w:sz w:val="24"/>
          <w:szCs w:val="24"/>
        </w:rPr>
        <w:t>non</w:t>
      </w:r>
      <w:r w:rsidRPr="001B2649">
        <w:rPr>
          <w:rFonts w:ascii="Times New Roman" w:hAnsi="Times New Roman" w:cs="Times New Roman"/>
          <w:sz w:val="24"/>
          <w:szCs w:val="24"/>
        </w:rPr>
        <w:t>moving party or their counsel whether there are any other areas the party wishes the Court to inquire about. The Court will inquire into these areas if requested and if relevant to an issue to be decided by the Court.</w:t>
      </w:r>
    </w:p>
    <w:p w:rsidR="001B2649" w:rsidRPr="001B2649" w:rsidRDefault="001B2649" w:rsidP="001B2649">
      <w:pPr>
        <w:ind w:firstLine="720"/>
        <w:rPr>
          <w:rFonts w:ascii="Times New Roman" w:hAnsi="Times New Roman" w:cs="Times New Roman"/>
          <w:sz w:val="24"/>
          <w:szCs w:val="24"/>
        </w:rPr>
      </w:pPr>
      <w:r w:rsidRPr="001B2649">
        <w:rPr>
          <w:rFonts w:ascii="Times New Roman" w:hAnsi="Times New Roman" w:cs="Times New Roman"/>
          <w:sz w:val="24"/>
          <w:szCs w:val="24"/>
        </w:rPr>
        <w:t>(e) The process in subsections (3</w:t>
      </w:r>
      <w:proofErr w:type="gramStart"/>
      <w:r w:rsidRPr="001B2649">
        <w:rPr>
          <w:rFonts w:ascii="Times New Roman" w:hAnsi="Times New Roman" w:cs="Times New Roman"/>
          <w:sz w:val="24"/>
          <w:szCs w:val="24"/>
        </w:rPr>
        <w:t>)(</w:t>
      </w:r>
      <w:proofErr w:type="gramEnd"/>
      <w:r w:rsidRPr="001B2649">
        <w:rPr>
          <w:rFonts w:ascii="Times New Roman" w:hAnsi="Times New Roman" w:cs="Times New Roman"/>
          <w:sz w:val="24"/>
          <w:szCs w:val="24"/>
        </w:rPr>
        <w:t>c) and (3)(d) is then repeated for the other party.</w:t>
      </w:r>
    </w:p>
    <w:p w:rsidR="001B2649" w:rsidRPr="001B2649" w:rsidRDefault="001B2649" w:rsidP="001B2649">
      <w:pPr>
        <w:ind w:firstLine="720"/>
        <w:rPr>
          <w:rFonts w:ascii="Times New Roman" w:hAnsi="Times New Roman" w:cs="Times New Roman"/>
          <w:sz w:val="24"/>
          <w:szCs w:val="24"/>
        </w:rPr>
      </w:pPr>
      <w:r w:rsidRPr="001B2649">
        <w:rPr>
          <w:rFonts w:ascii="Times New Roman" w:hAnsi="Times New Roman" w:cs="Times New Roman"/>
          <w:sz w:val="24"/>
          <w:szCs w:val="24"/>
        </w:rPr>
        <w:t>(f) Expert reports will be received as exhibits. Upon request of either party, the expert will be sworn and subjected to questioning by counsel, the parties, or the Court.</w:t>
      </w:r>
    </w:p>
    <w:p w:rsidR="001B2649" w:rsidRPr="001B2649" w:rsidRDefault="001B2649" w:rsidP="001B2649">
      <w:pPr>
        <w:ind w:firstLine="720"/>
        <w:rPr>
          <w:rFonts w:ascii="Times New Roman" w:hAnsi="Times New Roman" w:cs="Times New Roman"/>
          <w:sz w:val="24"/>
          <w:szCs w:val="24"/>
        </w:rPr>
      </w:pPr>
      <w:r w:rsidRPr="001B2649">
        <w:rPr>
          <w:rFonts w:ascii="Times New Roman" w:hAnsi="Times New Roman" w:cs="Times New Roman"/>
          <w:sz w:val="24"/>
          <w:szCs w:val="24"/>
        </w:rPr>
        <w:t>(g) The Court will receive any exhibits offered by the parties. The Court will determine what weight, if any, to give each exhibit. The Court may order the record to be supplemented.</w:t>
      </w:r>
    </w:p>
    <w:p w:rsidR="001B2649" w:rsidRPr="001B2649" w:rsidRDefault="001B2649" w:rsidP="001B2649">
      <w:pPr>
        <w:ind w:firstLine="720"/>
        <w:rPr>
          <w:rFonts w:ascii="Times New Roman" w:hAnsi="Times New Roman" w:cs="Times New Roman"/>
          <w:sz w:val="24"/>
          <w:szCs w:val="24"/>
        </w:rPr>
      </w:pPr>
      <w:r w:rsidRPr="001B2649">
        <w:rPr>
          <w:rFonts w:ascii="Times New Roman" w:hAnsi="Times New Roman" w:cs="Times New Roman"/>
          <w:sz w:val="24"/>
          <w:szCs w:val="24"/>
        </w:rPr>
        <w:t>(h) The parties or their counsel will then be offered the opportunity to respond briefly to the statements of the other party.</w:t>
      </w:r>
    </w:p>
    <w:p w:rsidR="001B2649" w:rsidRPr="001B2649" w:rsidRDefault="001B2649" w:rsidP="001B2649">
      <w:pPr>
        <w:ind w:firstLine="720"/>
        <w:rPr>
          <w:rFonts w:ascii="Times New Roman" w:hAnsi="Times New Roman" w:cs="Times New Roman"/>
          <w:sz w:val="24"/>
          <w:szCs w:val="24"/>
        </w:rPr>
      </w:pPr>
      <w:r w:rsidRPr="001B2649">
        <w:rPr>
          <w:rFonts w:ascii="Times New Roman" w:hAnsi="Times New Roman" w:cs="Times New Roman"/>
          <w:sz w:val="24"/>
          <w:szCs w:val="24"/>
        </w:rPr>
        <w:t>(</w:t>
      </w:r>
      <w:proofErr w:type="spellStart"/>
      <w:r w:rsidRPr="001B2649">
        <w:rPr>
          <w:rFonts w:ascii="Times New Roman" w:hAnsi="Times New Roman" w:cs="Times New Roman"/>
          <w:sz w:val="24"/>
          <w:szCs w:val="24"/>
        </w:rPr>
        <w:t>i</w:t>
      </w:r>
      <w:proofErr w:type="spellEnd"/>
      <w:r w:rsidRPr="001B2649">
        <w:rPr>
          <w:rFonts w:ascii="Times New Roman" w:hAnsi="Times New Roman" w:cs="Times New Roman"/>
          <w:sz w:val="24"/>
          <w:szCs w:val="24"/>
        </w:rPr>
        <w:t>) The parties or their counsel will be offered the opportunity to make a brief legal argument.</w:t>
      </w:r>
    </w:p>
    <w:p w:rsidR="001B2649" w:rsidRPr="001B2649" w:rsidRDefault="001B2649" w:rsidP="001B2649">
      <w:pPr>
        <w:ind w:firstLine="720"/>
        <w:rPr>
          <w:rFonts w:ascii="Times New Roman" w:hAnsi="Times New Roman" w:cs="Times New Roman"/>
          <w:sz w:val="24"/>
          <w:szCs w:val="24"/>
        </w:rPr>
      </w:pPr>
      <w:r w:rsidRPr="001B2649">
        <w:rPr>
          <w:rFonts w:ascii="Times New Roman" w:hAnsi="Times New Roman" w:cs="Times New Roman"/>
          <w:sz w:val="24"/>
          <w:szCs w:val="24"/>
        </w:rPr>
        <w:t>(j) At the conclusion of the case, the Court shall render judgment. The Court may take the matter under advisement, but best efforts wil</w:t>
      </w:r>
      <w:r w:rsidR="00C41EA2">
        <w:rPr>
          <w:rFonts w:ascii="Times New Roman" w:hAnsi="Times New Roman" w:cs="Times New Roman"/>
          <w:sz w:val="24"/>
          <w:szCs w:val="24"/>
        </w:rPr>
        <w:t>l be made to issues prompt judg</w:t>
      </w:r>
      <w:r w:rsidRPr="001B2649">
        <w:rPr>
          <w:rFonts w:ascii="Times New Roman" w:hAnsi="Times New Roman" w:cs="Times New Roman"/>
          <w:sz w:val="24"/>
          <w:szCs w:val="24"/>
        </w:rPr>
        <w:t>ments.</w:t>
      </w:r>
    </w:p>
    <w:p w:rsidR="001B2649" w:rsidRPr="001B2649" w:rsidRDefault="001B2649" w:rsidP="001B2649">
      <w:pPr>
        <w:ind w:firstLine="720"/>
        <w:rPr>
          <w:rFonts w:ascii="Times New Roman" w:hAnsi="Times New Roman" w:cs="Times New Roman"/>
          <w:sz w:val="24"/>
          <w:szCs w:val="24"/>
        </w:rPr>
      </w:pPr>
      <w:r w:rsidRPr="001B2649">
        <w:rPr>
          <w:rFonts w:ascii="Times New Roman" w:hAnsi="Times New Roman" w:cs="Times New Roman"/>
          <w:sz w:val="24"/>
          <w:szCs w:val="24"/>
        </w:rPr>
        <w:lastRenderedPageBreak/>
        <w:t>(k) The Court may modify these procedures as justice and fundamental fairness requires.</w:t>
      </w:r>
    </w:p>
    <w:p w:rsidR="001B2649" w:rsidRPr="001B2649" w:rsidRDefault="001B2649" w:rsidP="001B2649">
      <w:pPr>
        <w:ind w:firstLine="720"/>
        <w:rPr>
          <w:rFonts w:ascii="Times New Roman" w:hAnsi="Times New Roman" w:cs="Times New Roman"/>
          <w:sz w:val="24"/>
          <w:szCs w:val="24"/>
        </w:rPr>
      </w:pPr>
      <w:r w:rsidRPr="001B2649">
        <w:rPr>
          <w:rFonts w:ascii="Times New Roman" w:hAnsi="Times New Roman" w:cs="Times New Roman"/>
          <w:b/>
          <w:sz w:val="24"/>
          <w:szCs w:val="24"/>
        </w:rPr>
        <w:t>(4)</w:t>
      </w:r>
      <w:r w:rsidRPr="001B2649">
        <w:rPr>
          <w:rFonts w:ascii="Times New Roman" w:hAnsi="Times New Roman" w:cs="Times New Roman"/>
          <w:sz w:val="24"/>
          <w:szCs w:val="24"/>
        </w:rPr>
        <w:t xml:space="preserve"> The Court may refuse to allow the parties to utilize the </w:t>
      </w:r>
      <w:r>
        <w:rPr>
          <w:rFonts w:ascii="Times New Roman" w:hAnsi="Times New Roman" w:cs="Times New Roman"/>
          <w:sz w:val="24"/>
          <w:szCs w:val="24"/>
        </w:rPr>
        <w:t>IDRT</w:t>
      </w:r>
      <w:r w:rsidRPr="001B2649">
        <w:rPr>
          <w:rFonts w:ascii="Times New Roman" w:hAnsi="Times New Roman" w:cs="Times New Roman"/>
          <w:sz w:val="24"/>
          <w:szCs w:val="24"/>
        </w:rPr>
        <w:t xml:space="preserve"> procedure at any time and may also direct that a case proceed in the traditional manner of trial even after an </w:t>
      </w:r>
      <w:r>
        <w:rPr>
          <w:rFonts w:ascii="Times New Roman" w:hAnsi="Times New Roman" w:cs="Times New Roman"/>
          <w:sz w:val="24"/>
          <w:szCs w:val="24"/>
        </w:rPr>
        <w:t>IDRT</w:t>
      </w:r>
      <w:r w:rsidRPr="001B2649">
        <w:rPr>
          <w:rFonts w:ascii="Times New Roman" w:hAnsi="Times New Roman" w:cs="Times New Roman"/>
          <w:sz w:val="24"/>
          <w:szCs w:val="24"/>
        </w:rPr>
        <w:t xml:space="preserve"> has been commenced but before judgment has been entered. </w:t>
      </w:r>
    </w:p>
    <w:p w:rsidR="001B2649" w:rsidRPr="001B2649" w:rsidRDefault="001B2649" w:rsidP="001B2649">
      <w:pPr>
        <w:ind w:firstLine="720"/>
        <w:rPr>
          <w:rFonts w:ascii="Times New Roman" w:hAnsi="Times New Roman" w:cs="Times New Roman"/>
          <w:sz w:val="24"/>
          <w:szCs w:val="24"/>
        </w:rPr>
      </w:pPr>
      <w:r w:rsidRPr="001B2649">
        <w:rPr>
          <w:rFonts w:ascii="Times New Roman" w:hAnsi="Times New Roman" w:cs="Times New Roman"/>
          <w:b/>
          <w:sz w:val="24"/>
          <w:szCs w:val="24"/>
        </w:rPr>
        <w:t>(5)</w:t>
      </w:r>
      <w:r w:rsidRPr="001B2649">
        <w:rPr>
          <w:rFonts w:ascii="Times New Roman" w:hAnsi="Times New Roman" w:cs="Times New Roman"/>
          <w:sz w:val="24"/>
          <w:szCs w:val="24"/>
        </w:rPr>
        <w:t xml:space="preserve"> A party who has previously agreed to proceed with an </w:t>
      </w:r>
      <w:r>
        <w:rPr>
          <w:rFonts w:ascii="Times New Roman" w:hAnsi="Times New Roman" w:cs="Times New Roman"/>
          <w:sz w:val="24"/>
          <w:szCs w:val="24"/>
        </w:rPr>
        <w:t>IDRT</w:t>
      </w:r>
      <w:r w:rsidRPr="001B2649">
        <w:rPr>
          <w:rFonts w:ascii="Times New Roman" w:hAnsi="Times New Roman" w:cs="Times New Roman"/>
          <w:sz w:val="24"/>
          <w:szCs w:val="24"/>
        </w:rPr>
        <w:t xml:space="preserve"> may file a motion to opt out of the </w:t>
      </w:r>
      <w:r>
        <w:rPr>
          <w:rFonts w:ascii="Times New Roman" w:hAnsi="Times New Roman" w:cs="Times New Roman"/>
          <w:sz w:val="24"/>
          <w:szCs w:val="24"/>
        </w:rPr>
        <w:t>IDRT</w:t>
      </w:r>
      <w:r w:rsidRPr="001B2649">
        <w:rPr>
          <w:rFonts w:ascii="Times New Roman" w:hAnsi="Times New Roman" w:cs="Times New Roman"/>
          <w:sz w:val="24"/>
          <w:szCs w:val="24"/>
        </w:rPr>
        <w:t xml:space="preserve"> provided that this motion is filed not less than </w:t>
      </w:r>
      <w:r w:rsidR="00C41EA2">
        <w:rPr>
          <w:rFonts w:ascii="Times New Roman" w:hAnsi="Times New Roman" w:cs="Times New Roman"/>
          <w:sz w:val="24"/>
          <w:szCs w:val="24"/>
        </w:rPr>
        <w:t>10</w:t>
      </w:r>
      <w:r w:rsidRPr="001B2649">
        <w:rPr>
          <w:rFonts w:ascii="Times New Roman" w:hAnsi="Times New Roman" w:cs="Times New Roman"/>
          <w:sz w:val="24"/>
          <w:szCs w:val="24"/>
        </w:rPr>
        <w:t xml:space="preserve"> calendar days before trial. This time period may be modified or waived by the Court upon a showing of good cause. A change in the type of trial to be held may result in a change in the trial date.</w:t>
      </w:r>
      <w:r w:rsidRPr="001B2649">
        <w:rPr>
          <w:rFonts w:ascii="Times New Roman" w:hAnsi="Times New Roman" w:cs="Times New Roman"/>
          <w:sz w:val="24"/>
          <w:szCs w:val="24"/>
        </w:rPr>
        <w:fldChar w:fldCharType="begin" w:fldLock="1"/>
      </w:r>
      <w:r w:rsidRPr="001B2649">
        <w:rPr>
          <w:rFonts w:ascii="Times New Roman" w:hAnsi="Times New Roman" w:cs="Times New Roman"/>
          <w:sz w:val="24"/>
          <w:szCs w:val="24"/>
        </w:rPr>
        <w:instrText>MERGEFIELD FB_USELINENO</w:instrText>
      </w:r>
      <w:r w:rsidRPr="001B2649">
        <w:rPr>
          <w:rFonts w:ascii="Times New Roman" w:hAnsi="Times New Roman" w:cs="Times New Roman"/>
          <w:sz w:val="24"/>
          <w:szCs w:val="24"/>
        </w:rPr>
        <w:fldChar w:fldCharType="end"/>
      </w:r>
      <w:r w:rsidRPr="001B2649">
        <w:rPr>
          <w:rFonts w:ascii="Times New Roman" w:hAnsi="Times New Roman" w:cs="Times New Roman"/>
          <w:sz w:val="24"/>
          <w:szCs w:val="24"/>
        </w:rPr>
        <w:fldChar w:fldCharType="begin" w:fldLock="1"/>
      </w:r>
      <w:r w:rsidRPr="001B2649">
        <w:rPr>
          <w:rFonts w:ascii="Times New Roman" w:hAnsi="Times New Roman" w:cs="Times New Roman"/>
          <w:sz w:val="24"/>
          <w:szCs w:val="24"/>
        </w:rPr>
        <w:instrText>MERGEFIELD FB_USERIGHTLINE</w:instrText>
      </w:r>
      <w:r w:rsidRPr="001B2649">
        <w:rPr>
          <w:rFonts w:ascii="Times New Roman" w:hAnsi="Times New Roman" w:cs="Times New Roman"/>
          <w:sz w:val="24"/>
          <w:szCs w:val="24"/>
        </w:rPr>
        <w:fldChar w:fldCharType="end"/>
      </w:r>
      <w:r w:rsidRPr="001B2649">
        <w:rPr>
          <w:rFonts w:ascii="Times New Roman" w:hAnsi="Times New Roman" w:cs="Times New Roman"/>
          <w:sz w:val="24"/>
          <w:szCs w:val="24"/>
        </w:rPr>
        <w:fldChar w:fldCharType="begin" w:fldLock="1"/>
      </w:r>
      <w:r w:rsidRPr="001B2649">
        <w:rPr>
          <w:rFonts w:ascii="Times New Roman" w:hAnsi="Times New Roman" w:cs="Times New Roman"/>
          <w:sz w:val="24"/>
          <w:szCs w:val="24"/>
        </w:rPr>
        <w:instrText>MERGEFIELD H02_WA_GR</w:instrText>
      </w:r>
      <w:r w:rsidRPr="001B2649">
        <w:rPr>
          <w:rFonts w:ascii="Times New Roman" w:hAnsi="Times New Roman" w:cs="Times New Roman"/>
          <w:sz w:val="24"/>
          <w:szCs w:val="24"/>
        </w:rPr>
        <w:fldChar w:fldCharType="end"/>
      </w:r>
      <w:r w:rsidRPr="001B2649">
        <w:rPr>
          <w:rFonts w:ascii="Times New Roman" w:hAnsi="Times New Roman" w:cs="Times New Roman"/>
          <w:sz w:val="24"/>
          <w:szCs w:val="24"/>
        </w:rPr>
        <w:fldChar w:fldCharType="begin" w:fldLock="1"/>
      </w:r>
      <w:r w:rsidRPr="001B2649">
        <w:rPr>
          <w:rFonts w:ascii="Times New Roman" w:hAnsi="Times New Roman" w:cs="Times New Roman"/>
          <w:sz w:val="24"/>
          <w:szCs w:val="24"/>
        </w:rPr>
        <w:instrText>MERGEFIELD H01_WA_PL</w:instrText>
      </w:r>
      <w:r w:rsidRPr="001B2649">
        <w:rPr>
          <w:rFonts w:ascii="Times New Roman" w:hAnsi="Times New Roman" w:cs="Times New Roman"/>
          <w:sz w:val="24"/>
          <w:szCs w:val="24"/>
        </w:rPr>
        <w:fldChar w:fldCharType="end"/>
      </w:r>
    </w:p>
    <w:p w:rsidR="00F900B3" w:rsidRPr="001B2649" w:rsidRDefault="00F900B3" w:rsidP="001B2649">
      <w:pPr>
        <w:rPr>
          <w:rFonts w:ascii="Times New Roman" w:hAnsi="Times New Roman" w:cs="Times New Roman"/>
          <w:sz w:val="24"/>
          <w:szCs w:val="24"/>
        </w:rPr>
      </w:pPr>
    </w:p>
    <w:sectPr w:rsidR="00F900B3" w:rsidRPr="001B2649">
      <w:footerReference w:type="default" r:id="rId6"/>
      <w:pgSz w:w="12240" w:h="15840"/>
      <w:pgMar w:top="1440" w:right="1440" w:bottom="360" w:left="1440" w:header="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649" w:rsidRDefault="001B2649" w:rsidP="001B2649">
      <w:pPr>
        <w:spacing w:after="0" w:line="240" w:lineRule="auto"/>
      </w:pPr>
      <w:r>
        <w:separator/>
      </w:r>
    </w:p>
  </w:endnote>
  <w:endnote w:type="continuationSeparator" w:id="0">
    <w:p w:rsidR="001B2649" w:rsidRDefault="001B2649" w:rsidP="001B2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05B" w:rsidRDefault="00E12333">
    <w:pPr>
      <w:tabs>
        <w:tab w:val="left" w:pos="720"/>
        <w:tab w:val="left" w:pos="1440"/>
        <w:tab w:val="left" w:pos="2160"/>
        <w:tab w:val="left" w:pos="2880"/>
        <w:tab w:val="left" w:pos="4176"/>
        <w:tab w:val="left" w:pos="5904"/>
        <w:tab w:val="left" w:pos="6624"/>
        <w:tab w:val="left" w:pos="7056"/>
        <w:tab w:val="left" w:pos="10080"/>
      </w:tabs>
      <w:jc w:val="both"/>
      <w:rPr>
        <w:rFonts w:ascii="Times New Roman" w:hAnsi="Times New Roman" w:cs="Times New Roman"/>
        <w:i/>
        <w:iCs/>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649" w:rsidRDefault="001B2649" w:rsidP="001B2649">
      <w:pPr>
        <w:spacing w:after="0" w:line="240" w:lineRule="auto"/>
      </w:pPr>
      <w:r>
        <w:separator/>
      </w:r>
    </w:p>
  </w:footnote>
  <w:footnote w:type="continuationSeparator" w:id="0">
    <w:p w:rsidR="001B2649" w:rsidRDefault="001B2649" w:rsidP="001B26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424"/>
    <w:rsid w:val="001B2649"/>
    <w:rsid w:val="00BA7424"/>
    <w:rsid w:val="00C41EA2"/>
    <w:rsid w:val="00E12333"/>
    <w:rsid w:val="00F90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77738B3-041D-4B10-BC7E-C54D2287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6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649"/>
  </w:style>
  <w:style w:type="paragraph" w:styleId="Footer">
    <w:name w:val="footer"/>
    <w:basedOn w:val="Normal"/>
    <w:link w:val="FooterChar"/>
    <w:uiPriority w:val="99"/>
    <w:unhideWhenUsed/>
    <w:rsid w:val="001B26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Hummel, Leslie</dc:creator>
  <cp:keywords/>
  <dc:description/>
  <cp:lastModifiedBy>Hummel, Leslie</cp:lastModifiedBy>
  <cp:revision>3</cp:revision>
  <dcterms:created xsi:type="dcterms:W3CDTF">2021-05-05T20:36:00Z</dcterms:created>
  <dcterms:modified xsi:type="dcterms:W3CDTF">2021-05-05T20:51:00Z</dcterms:modified>
</cp:coreProperties>
</file>