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tabs>
          <w:tab w:val="left" w:pos="2520"/>
          <w:tab w:val="left" w:pos="5310"/>
        </w:tabs>
        <w:rPr>
          <w:rFonts w:ascii="Arial" w:hAnsi="Arial" w:cs="Arial"/>
          <w:b/>
          <w:sz w:val="24"/>
          <w:szCs w:val="24"/>
          <w:u w:val="single"/>
        </w:rPr>
      </w:pPr>
      <w:bookmarkStart w:id="0" w:name="_GoBack"/>
      <w:bookmarkEnd w:id="0"/>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rPr>
          <w:rFonts w:ascii="Arial" w:hAnsi="Arial" w:cs="Arial"/>
          <w:b/>
          <w:sz w:val="24"/>
          <w:szCs w:val="24"/>
          <w:u w:val="single"/>
        </w:rPr>
      </w:pPr>
    </w:p>
    <w:p>
      <w:pPr>
        <w:pStyle w:val="NoSpacing"/>
        <w:tabs>
          <w:tab w:val="left" w:pos="2520"/>
          <w:tab w:val="left" w:pos="5310"/>
        </w:tabs>
        <w:ind w:firstLine="2520"/>
        <w:rPr>
          <w:rFonts w:ascii="Arial" w:hAnsi="Arial" w:cs="Arial"/>
          <w:b/>
          <w:sz w:val="24"/>
          <w:szCs w:val="24"/>
        </w:rPr>
      </w:pPr>
      <w:r>
        <w:rPr>
          <w:rFonts w:ascii="Arial" w:hAnsi="Arial" w:cs="Arial"/>
          <w:b/>
          <w:sz w:val="24"/>
          <w:szCs w:val="24"/>
          <w:u w:val="single"/>
        </w:rPr>
        <w:tab/>
      </w:r>
      <w:r>
        <w:rPr>
          <w:rFonts w:ascii="Arial" w:hAnsi="Arial" w:cs="Arial"/>
          <w:b/>
          <w:sz w:val="24"/>
          <w:szCs w:val="24"/>
        </w:rPr>
        <w:t xml:space="preserve"> Court of Washington</w:t>
      </w:r>
    </w:p>
    <w:p>
      <w:pPr>
        <w:pStyle w:val="NoSpacing"/>
        <w:tabs>
          <w:tab w:val="left" w:pos="2520"/>
          <w:tab w:val="left" w:pos="7290"/>
        </w:tabs>
        <w:ind w:firstLine="2520"/>
        <w:rPr>
          <w:rFonts w:ascii="Arial" w:hAnsi="Arial" w:cs="Arial"/>
          <w:b/>
          <w:sz w:val="24"/>
          <w:szCs w:val="24"/>
          <w:u w:val="single"/>
        </w:rPr>
      </w:pPr>
      <w:r>
        <w:rPr>
          <w:rFonts w:ascii="Arial" w:hAnsi="Arial" w:cs="Arial"/>
          <w:b/>
          <w:sz w:val="24"/>
          <w:szCs w:val="24"/>
        </w:rPr>
        <w:t xml:space="preserve">County of </w:t>
      </w:r>
      <w:r>
        <w:rPr>
          <w:rFonts w:ascii="Arial" w:hAnsi="Arial" w:cs="Arial"/>
          <w:b/>
          <w:sz w:val="24"/>
          <w:szCs w:val="24"/>
          <w:u w:val="single"/>
        </w:rPr>
        <w:tab/>
      </w:r>
    </w:p>
    <w:p>
      <w:pPr>
        <w:pStyle w:val="NoSpacing"/>
        <w:tabs>
          <w:tab w:val="left" w:pos="2520"/>
        </w:tabs>
        <w:rPr>
          <w:rFonts w:ascii="Arial" w:hAnsi="Arial" w:cs="Arial"/>
          <w:sz w:val="24"/>
          <w:szCs w:val="24"/>
          <w:u w:val="single"/>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trPr>
          <w:trHeight w:val="2358"/>
        </w:trPr>
        <w:tc>
          <w:tcPr>
            <w:tcW w:w="4675" w:type="dxa"/>
          </w:tcPr>
          <w:p>
            <w:pPr>
              <w:pStyle w:val="NoSpacing"/>
              <w:tabs>
                <w:tab w:val="left" w:pos="3492"/>
              </w:tabs>
              <w:rPr>
                <w:rFonts w:ascii="Arial" w:hAnsi="Arial" w:cs="Arial"/>
                <w:sz w:val="24"/>
              </w:rPr>
            </w:pPr>
            <w:r>
              <w:rPr>
                <w:rFonts w:ascii="Arial" w:hAnsi="Arial" w:cs="Arial"/>
                <w:b/>
                <w:sz w:val="24"/>
                <w:u w:val="single"/>
              </w:rPr>
              <w:tab/>
            </w:r>
            <w:r>
              <w:rPr>
                <w:rFonts w:ascii="Arial" w:hAnsi="Arial" w:cs="Arial"/>
                <w:sz w:val="24"/>
              </w:rPr>
              <w:t>,</w:t>
            </w:r>
          </w:p>
          <w:p>
            <w:pPr>
              <w:pStyle w:val="NoSpacing"/>
              <w:tabs>
                <w:tab w:val="left" w:pos="2541"/>
              </w:tabs>
              <w:rPr>
                <w:rFonts w:ascii="Arial" w:hAnsi="Arial" w:cs="Arial"/>
                <w:sz w:val="24"/>
              </w:rPr>
            </w:pPr>
            <w:r>
              <w:rPr>
                <w:rFonts w:ascii="Arial" w:hAnsi="Arial" w:cs="Arial"/>
                <w:sz w:val="24"/>
              </w:rPr>
              <w:tab/>
              <w:t>Plaintiff,</w:t>
            </w:r>
          </w:p>
          <w:p>
            <w:pPr>
              <w:pStyle w:val="NoSpacing"/>
              <w:rPr>
                <w:rFonts w:ascii="Arial" w:hAnsi="Arial" w:cs="Arial"/>
                <w:sz w:val="24"/>
              </w:rPr>
            </w:pPr>
          </w:p>
          <w:p>
            <w:pPr>
              <w:pStyle w:val="NoSpacing"/>
              <w:rPr>
                <w:rFonts w:ascii="Arial" w:hAnsi="Arial" w:cs="Arial"/>
                <w:sz w:val="24"/>
              </w:rPr>
            </w:pPr>
            <w:r>
              <w:rPr>
                <w:rFonts w:ascii="Arial" w:hAnsi="Arial" w:cs="Arial"/>
                <w:sz w:val="24"/>
              </w:rPr>
              <w:t>vs.</w:t>
            </w:r>
          </w:p>
          <w:p>
            <w:pPr>
              <w:pStyle w:val="NoSpacing"/>
              <w:rPr>
                <w:rFonts w:ascii="Arial" w:hAnsi="Arial" w:cs="Arial"/>
                <w:sz w:val="24"/>
              </w:rPr>
            </w:pPr>
          </w:p>
          <w:p>
            <w:pPr>
              <w:pStyle w:val="NoSpacing"/>
              <w:tabs>
                <w:tab w:val="left" w:pos="3492"/>
              </w:tabs>
              <w:rPr>
                <w:rFonts w:ascii="Arial" w:hAnsi="Arial" w:cs="Arial"/>
                <w:sz w:val="24"/>
              </w:rPr>
            </w:pPr>
            <w:r>
              <w:rPr>
                <w:rFonts w:ascii="Arial" w:hAnsi="Arial" w:cs="Arial"/>
                <w:b/>
                <w:sz w:val="24"/>
                <w:u w:val="single"/>
              </w:rPr>
              <w:tab/>
            </w:r>
            <w:r>
              <w:rPr>
                <w:rFonts w:ascii="Arial" w:hAnsi="Arial" w:cs="Arial"/>
                <w:sz w:val="24"/>
              </w:rPr>
              <w:t>,</w:t>
            </w:r>
          </w:p>
          <w:p>
            <w:pPr>
              <w:pStyle w:val="NoSpacing"/>
              <w:tabs>
                <w:tab w:val="left" w:pos="2502"/>
              </w:tabs>
              <w:rPr>
                <w:rFonts w:ascii="Arial" w:hAnsi="Arial" w:cs="Arial"/>
                <w:sz w:val="24"/>
              </w:rPr>
            </w:pPr>
            <w:r>
              <w:rPr>
                <w:rFonts w:ascii="Arial" w:hAnsi="Arial" w:cs="Arial"/>
                <w:sz w:val="24"/>
              </w:rPr>
              <w:tab/>
              <w:t>Defendant.</w:t>
            </w:r>
          </w:p>
          <w:p>
            <w:pPr>
              <w:pStyle w:val="NoSpacing"/>
              <w:rPr>
                <w:rFonts w:ascii="Arial" w:hAnsi="Arial" w:cs="Arial"/>
                <w:sz w:val="24"/>
              </w:rPr>
            </w:pPr>
          </w:p>
        </w:tc>
        <w:tc>
          <w:tcPr>
            <w:tcW w:w="4675" w:type="dxa"/>
          </w:tcPr>
          <w:p>
            <w:pPr>
              <w:pStyle w:val="NoSpacing"/>
              <w:rPr>
                <w:rFonts w:ascii="Arial" w:hAnsi="Arial" w:cs="Arial"/>
                <w:sz w:val="24"/>
              </w:rPr>
            </w:pPr>
            <w:r>
              <w:rPr>
                <w:rFonts w:ascii="Arial" w:hAnsi="Arial" w:cs="Arial"/>
                <w:sz w:val="24"/>
              </w:rPr>
              <w:t>No.</w:t>
            </w:r>
          </w:p>
          <w:p>
            <w:pPr>
              <w:pStyle w:val="NoSpacing"/>
              <w:rPr>
                <w:rFonts w:ascii="Arial" w:hAnsi="Arial" w:cs="Arial"/>
                <w:sz w:val="24"/>
              </w:rPr>
            </w:pPr>
          </w:p>
          <w:p>
            <w:pPr>
              <w:pStyle w:val="NoSpacing"/>
              <w:rPr>
                <w:rFonts w:ascii="Arial" w:hAnsi="Arial" w:cs="Arial"/>
                <w:b/>
                <w:sz w:val="24"/>
              </w:rPr>
            </w:pPr>
            <w:r>
              <w:rPr>
                <w:rFonts w:ascii="Arial" w:hAnsi="Arial" w:cs="Arial"/>
                <w:b/>
                <w:sz w:val="24"/>
              </w:rPr>
              <w:t>Order Striking Nonfelony Revocation Proceedings Due to Defendant’s Lack of Competency and Immediately Releasing or Detaining Defendant</w:t>
            </w:r>
          </w:p>
          <w:p>
            <w:pPr>
              <w:pStyle w:val="NoSpacing"/>
              <w:rPr>
                <w:rFonts w:ascii="Arial" w:hAnsi="Arial" w:cs="Arial"/>
                <w:b/>
                <w:sz w:val="24"/>
              </w:rPr>
            </w:pPr>
            <w:r>
              <w:rPr>
                <w:rFonts w:ascii="Arial" w:hAnsi="Arial" w:cs="Arial"/>
                <w:b/>
                <w:sz w:val="24"/>
              </w:rPr>
              <w:t>(RCW 10.77.088(2))</w:t>
            </w:r>
          </w:p>
          <w:p>
            <w:pPr>
              <w:pStyle w:val="NoSpacing"/>
              <w:rPr>
                <w:rFonts w:ascii="Arial" w:hAnsi="Arial" w:cs="Arial"/>
                <w:sz w:val="24"/>
              </w:rPr>
            </w:pPr>
            <w:r>
              <w:rPr>
                <w:rFonts w:ascii="Arial" w:hAnsi="Arial" w:cs="Arial"/>
                <w:sz w:val="24"/>
              </w:rPr>
              <w:t>(</w:t>
            </w:r>
            <w:r>
              <w:rPr>
                <w:rFonts w:ascii="Arial" w:hAnsi="Arial" w:cs="Arial"/>
                <w:b/>
                <w:sz w:val="24"/>
              </w:rPr>
              <w:t>ORSK</w:t>
            </w:r>
            <w:r>
              <w:rPr>
                <w:rFonts w:ascii="Arial" w:hAnsi="Arial" w:cs="Arial"/>
                <w:sz w:val="24"/>
              </w:rPr>
              <w:t>)</w:t>
            </w:r>
          </w:p>
          <w:p>
            <w:pPr>
              <w:pStyle w:val="NoSpacing"/>
              <w:rPr>
                <w:rFonts w:ascii="Arial" w:hAnsi="Arial" w:cs="Arial"/>
                <w:sz w:val="24"/>
                <w:szCs w:val="24"/>
              </w:rPr>
            </w:pPr>
            <w:r>
              <w:rPr>
                <w:rFonts w:ascii="Arial" w:hAnsi="Arial" w:cs="Arial"/>
                <w:sz w:val="24"/>
                <w:szCs w:val="24"/>
              </w:rPr>
              <w:t>(Optional use)</w:t>
            </w:r>
          </w:p>
        </w:tc>
      </w:tr>
    </w:tbl>
    <w:p>
      <w:pPr>
        <w:pStyle w:val="NoSpacing"/>
        <w:rPr>
          <w:rFonts w:ascii="Arial" w:hAnsi="Arial" w:cs="Arial"/>
          <w:sz w:val="24"/>
        </w:rPr>
      </w:pPr>
    </w:p>
    <w:p>
      <w:pPr>
        <w:pStyle w:val="NoSpacing"/>
        <w:rPr>
          <w:rFonts w:ascii="Arial" w:hAnsi="Arial" w:cs="Arial"/>
        </w:rPr>
      </w:pPr>
      <w:r>
        <w:rPr>
          <w:rFonts w:ascii="Arial" w:hAnsi="Arial" w:cs="Arial"/>
        </w:rPr>
        <w:t>The court has conducted a hearing on the defendant’s competency to proceed with a revocation hearing related to an alleged failure to comply with conditions of sentence.  After reviewing the evidence presented by the parties and other records in the case, the court finds the following facts, and issues the following orders:</w:t>
      </w:r>
    </w:p>
    <w:p>
      <w:pPr>
        <w:pStyle w:val="NoSpacing"/>
        <w:tabs>
          <w:tab w:val="left" w:pos="2520"/>
        </w:tabs>
        <w:rPr>
          <w:rFonts w:ascii="Arial" w:hAnsi="Arial" w:cs="Arial"/>
        </w:rPr>
      </w:pPr>
    </w:p>
    <w:p>
      <w:pPr>
        <w:pStyle w:val="NoSpacing"/>
        <w:rPr>
          <w:rFonts w:ascii="Arial" w:hAnsi="Arial" w:cs="Arial"/>
          <w:b/>
          <w:sz w:val="24"/>
          <w:szCs w:val="24"/>
        </w:rPr>
      </w:pPr>
      <w:r>
        <w:rPr>
          <w:rFonts w:ascii="Arial" w:hAnsi="Arial" w:cs="Arial"/>
          <w:b/>
          <w:sz w:val="24"/>
          <w:szCs w:val="24"/>
        </w:rPr>
        <w:t>Findings of Fact.</w:t>
      </w:r>
    </w:p>
    <w:p>
      <w:pPr>
        <w:pStyle w:val="NoSpacing"/>
        <w:tabs>
          <w:tab w:val="left" w:pos="2520"/>
        </w:tabs>
        <w:rPr>
          <w:rFonts w:ascii="Arial" w:hAnsi="Arial" w:cs="Arial"/>
          <w:b/>
        </w:rPr>
      </w:pPr>
    </w:p>
    <w:p>
      <w:pPr>
        <w:pStyle w:val="NoSpacing"/>
        <w:tabs>
          <w:tab w:val="left" w:pos="2520"/>
        </w:tabs>
        <w:rPr>
          <w:rFonts w:ascii="Arial" w:hAnsi="Arial" w:cs="Arial"/>
        </w:rPr>
      </w:pPr>
      <w:r>
        <w:rPr>
          <w:rFonts w:ascii="Arial" w:hAnsi="Arial" w:cs="Arial"/>
        </w:rPr>
        <w:t xml:space="preserve">The court finds by a preponderance of the evidence that the defendant (i) lacks the capacity to understand the nature of the proceedings against him/her or to assist in his/her own defense as a result of mental disease or defect; and (ii) is not competent to proceed with the revocation hearing, pursuant to RCW 10.77.010 and 10.77.050. </w:t>
      </w:r>
    </w:p>
    <w:p>
      <w:pPr>
        <w:pStyle w:val="NoSpacing"/>
        <w:tabs>
          <w:tab w:val="left" w:pos="2520"/>
        </w:tabs>
        <w:rPr>
          <w:rFonts w:ascii="Arial" w:hAnsi="Arial" w:cs="Arial"/>
        </w:rPr>
      </w:pPr>
    </w:p>
    <w:p>
      <w:pPr>
        <w:pStyle w:val="NoSpacing"/>
        <w:tabs>
          <w:tab w:val="left" w:pos="2520"/>
        </w:tabs>
        <w:rPr>
          <w:rFonts w:ascii="Arial" w:hAnsi="Arial" w:cs="Arial"/>
          <w:b/>
          <w:sz w:val="24"/>
          <w:szCs w:val="24"/>
        </w:rPr>
      </w:pPr>
      <w:r>
        <w:rPr>
          <w:rFonts w:ascii="Arial" w:hAnsi="Arial" w:cs="Arial"/>
          <w:b/>
          <w:sz w:val="24"/>
          <w:szCs w:val="24"/>
        </w:rPr>
        <w:t>Orders</w:t>
      </w:r>
    </w:p>
    <w:p>
      <w:pPr>
        <w:pStyle w:val="NoSpacing"/>
        <w:tabs>
          <w:tab w:val="left" w:pos="2520"/>
        </w:tabs>
        <w:rPr>
          <w:rFonts w:ascii="Arial" w:hAnsi="Arial" w:cs="Arial"/>
          <w:b/>
          <w:sz w:val="24"/>
          <w:szCs w:val="24"/>
        </w:rPr>
      </w:pPr>
    </w:p>
    <w:p>
      <w:pPr>
        <w:pStyle w:val="NoSpacing"/>
        <w:numPr>
          <w:ilvl w:val="0"/>
          <w:numId w:val="1"/>
        </w:numPr>
        <w:tabs>
          <w:tab w:val="left" w:pos="2520"/>
        </w:tabs>
        <w:ind w:hanging="720"/>
        <w:rPr>
          <w:rFonts w:ascii="Arial" w:hAnsi="Arial" w:cs="Arial"/>
        </w:rPr>
      </w:pPr>
      <w:r>
        <w:rPr>
          <w:rFonts w:ascii="Arial" w:hAnsi="Arial" w:cs="Arial"/>
          <w:b/>
        </w:rPr>
        <w:t xml:space="preserve">Strike Hearing.  </w:t>
      </w:r>
      <w:r>
        <w:rPr>
          <w:rFonts w:ascii="Arial" w:hAnsi="Arial" w:cs="Arial"/>
        </w:rPr>
        <w:t>Due to the defendant’s incompetency, the court strikes, without prejudice, the revocation hearing alleging a failure to comply with conditions of sentence.</w:t>
      </w:r>
    </w:p>
    <w:p>
      <w:pPr>
        <w:pStyle w:val="NoSpacing"/>
        <w:tabs>
          <w:tab w:val="left" w:pos="2520"/>
        </w:tabs>
        <w:rPr>
          <w:rFonts w:ascii="Arial" w:hAnsi="Arial" w:cs="Arial"/>
        </w:rPr>
      </w:pPr>
    </w:p>
    <w:p>
      <w:pPr>
        <w:pStyle w:val="NoSpacing"/>
        <w:tabs>
          <w:tab w:val="left" w:pos="1440"/>
          <w:tab w:val="left" w:pos="4320"/>
          <w:tab w:val="left" w:pos="5040"/>
        </w:tabs>
        <w:ind w:left="1440" w:hanging="7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w:t>
      </w:r>
      <w:r>
        <w:rPr>
          <w:rFonts w:ascii="Arial" w:hAnsi="Arial" w:cs="Arial"/>
        </w:rPr>
        <w:tab/>
      </w:r>
      <w:r>
        <w:rPr>
          <w:rFonts w:ascii="Arial" w:hAnsi="Arial" w:cs="Arial"/>
          <w:b/>
        </w:rPr>
        <w:t xml:space="preserve">Strike and Immediately Release.  </w:t>
      </w:r>
      <w:r>
        <w:rPr>
          <w:rFonts w:ascii="Arial" w:hAnsi="Arial" w:cs="Arial"/>
        </w:rPr>
        <w:t xml:space="preserve">The competency evaluator </w:t>
      </w:r>
      <w:r>
        <w:rPr>
          <w:rFonts w:ascii="Arial" w:hAnsi="Arial" w:cs="Arial"/>
          <w:b/>
        </w:rPr>
        <w:t>did not recommend</w:t>
      </w:r>
      <w:r>
        <w:rPr>
          <w:rFonts w:ascii="Arial" w:hAnsi="Arial" w:cs="Arial"/>
        </w:rPr>
        <w:t xml:space="preserve"> that the </w:t>
      </w:r>
      <w:r>
        <w:rPr>
          <w:rFonts w:ascii="Arial" w:hAnsi="Arial"/>
        </w:rPr>
        <w:t xml:space="preserve">designated </w:t>
      </w:r>
      <w:r>
        <w:rPr>
          <w:rFonts w:ascii="Arial" w:hAnsi="Arial" w:cs="Arial"/>
        </w:rPr>
        <w:t xml:space="preserve">crisis responder (DCR) evaluate the defendant and consider initial detention proceedings under Ch. 71.05 RCW.  </w:t>
      </w:r>
    </w:p>
    <w:p>
      <w:pPr>
        <w:pStyle w:val="NoSpacing"/>
        <w:tabs>
          <w:tab w:val="left" w:pos="1440"/>
          <w:tab w:val="left" w:pos="4320"/>
          <w:tab w:val="left" w:pos="5040"/>
        </w:tabs>
        <w:spacing w:before="120"/>
        <w:ind w:left="1440"/>
        <w:rPr>
          <w:rFonts w:ascii="Arial" w:hAnsi="Arial" w:cs="Arial"/>
        </w:rPr>
      </w:pPr>
      <w:r>
        <w:rPr>
          <w:rFonts w:ascii="Arial" w:hAnsi="Arial" w:cs="Arial"/>
        </w:rPr>
        <w:t xml:space="preserve">The defendant shall be released from custody on this case immediately. </w:t>
      </w:r>
    </w:p>
    <w:p>
      <w:pPr>
        <w:pStyle w:val="NoSpacing"/>
        <w:tabs>
          <w:tab w:val="left" w:pos="1440"/>
          <w:tab w:val="left" w:pos="4320"/>
          <w:tab w:val="left" w:pos="5040"/>
        </w:tabs>
        <w:spacing w:before="120"/>
        <w:ind w:left="1440"/>
        <w:rPr>
          <w:rFonts w:ascii="Arial" w:hAnsi="Arial" w:cs="Arial"/>
        </w:rPr>
      </w:pPr>
      <w:r>
        <w:rPr>
          <w:rFonts w:ascii="Arial" w:hAnsi="Arial" w:cs="Arial"/>
        </w:rPr>
        <w:t>Any custody orders on any other cases are to remain unaffected by this order.</w:t>
      </w:r>
    </w:p>
    <w:p>
      <w:pPr>
        <w:pStyle w:val="NoSpacing"/>
        <w:tabs>
          <w:tab w:val="left" w:pos="2520"/>
        </w:tabs>
        <w:rPr>
          <w:rFonts w:ascii="Arial" w:hAnsi="Arial" w:cs="Arial"/>
        </w:rPr>
      </w:pPr>
    </w:p>
    <w:p>
      <w:pPr>
        <w:tabs>
          <w:tab w:val="left" w:pos="1440"/>
        </w:tabs>
        <w:ind w:left="1440" w:hanging="720"/>
        <w:rPr>
          <w:rFonts w:ascii="Arial" w:hAnsi="Arial"/>
        </w:rPr>
      </w:pPr>
      <w:r>
        <w:rPr>
          <w:rFonts w:ascii="Arial" w:hAnsi="Arial" w:cs="Arial"/>
          <w:b/>
        </w:rPr>
        <w:lastRenderedPageBreak/>
        <w:fldChar w:fldCharType="begin">
          <w:ffData>
            <w:name w:val="Check1"/>
            <w:enabled/>
            <w:calcOnExit w:val="0"/>
            <w:checkBox>
              <w:sizeAuto/>
              <w:default w:val="0"/>
            </w:checkBox>
          </w:ffData>
        </w:fldChar>
      </w:r>
      <w:bookmarkStart w:id="2" w:name="Check1"/>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
      <w:r>
        <w:rPr>
          <w:rFonts w:ascii="Arial" w:hAnsi="Arial" w:cs="Arial"/>
          <w:b/>
        </w:rPr>
        <w:t xml:space="preserve">  </w:t>
      </w:r>
      <w:r>
        <w:rPr>
          <w:rFonts w:ascii="Arial" w:hAnsi="Arial" w:cs="Arial"/>
          <w:b/>
        </w:rPr>
        <w:tab/>
        <w:t xml:space="preserve">Strike and Temporarily Detain. </w:t>
      </w:r>
      <w:r>
        <w:rPr>
          <w:rFonts w:ascii="Arial" w:hAnsi="Arial" w:cs="Arial"/>
        </w:rPr>
        <w:t xml:space="preserve">The competency evaluator </w:t>
      </w:r>
      <w:r>
        <w:rPr>
          <w:rFonts w:ascii="Arial" w:hAnsi="Arial" w:cs="Arial"/>
          <w:b/>
        </w:rPr>
        <w:t xml:space="preserve">recommended </w:t>
      </w:r>
      <w:r>
        <w:rPr>
          <w:rFonts w:ascii="Arial" w:hAnsi="Arial" w:cs="Arial"/>
        </w:rPr>
        <w:t xml:space="preserve">that the DCR evaluate the defendant and consider initial detention proceedings under Ch. 71.05 RCW.  The court finds that it is appropriate to allow the DCR to evaluate the defendant and consider initial detention proceedings under ch. 71.05 RCW.  </w:t>
      </w:r>
    </w:p>
    <w:p>
      <w:pPr>
        <w:pStyle w:val="NoSpacing"/>
        <w:ind w:left="1440"/>
        <w:rPr>
          <w:rFonts w:ascii="Arial" w:hAnsi="Arial" w:cs="Arial"/>
        </w:rPr>
      </w:pPr>
      <w:r>
        <w:rPr>
          <w:rFonts w:ascii="Arial" w:hAnsi="Arial" w:cs="Arial"/>
        </w:rPr>
        <w:t xml:space="preserve">The defendant is to be detained in custody for a sufficient time to allow the DCR to evaluate the defendant and consider initial detention proceedings under ch. 71.05 RCW.  The court has determined that “sufficient time” for purposes of this order will expire at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a.m./p.m. on </w:t>
      </w:r>
      <w:r>
        <w:rPr>
          <w:rFonts w:ascii="Arial" w:hAnsi="Arial" w:cs="Arial"/>
          <w:u w:val="single"/>
        </w:rPr>
        <w:tab/>
      </w:r>
      <w:r>
        <w:rPr>
          <w:rFonts w:ascii="Arial" w:hAnsi="Arial" w:cs="Arial"/>
          <w:u w:val="single"/>
        </w:rPr>
        <w:tab/>
      </w:r>
      <w:r>
        <w:rPr>
          <w:rFonts w:ascii="Arial" w:hAnsi="Arial" w:cs="Arial"/>
        </w:rPr>
        <w:t xml:space="preserve">. </w:t>
      </w:r>
    </w:p>
    <w:p>
      <w:pPr>
        <w:pStyle w:val="NoSpacing"/>
        <w:ind w:left="2160"/>
        <w:rPr>
          <w:rFonts w:ascii="Arial" w:hAnsi="Arial" w:cs="Arial"/>
        </w:rPr>
      </w:pPr>
    </w:p>
    <w:p>
      <w:pPr>
        <w:spacing w:before="120" w:after="0" w:line="240" w:lineRule="auto"/>
        <w:ind w:left="1440"/>
        <w:rPr>
          <w:rFonts w:ascii="Arial" w:hAnsi="Arial" w:cs="Arial"/>
        </w:rPr>
      </w:pPr>
      <w:r>
        <w:rPr>
          <w:rFonts w:ascii="Arial" w:hAnsi="Arial" w:cs="Arial"/>
        </w:rPr>
        <w:t>The defendant shall be released from custody in this case upon the earlier of:</w:t>
      </w:r>
    </w:p>
    <w:p>
      <w:pPr>
        <w:spacing w:before="120" w:after="0" w:line="240" w:lineRule="auto"/>
        <w:ind w:left="1800"/>
        <w:rPr>
          <w:rFonts w:ascii="Arial" w:hAnsi="Arial" w:cs="Arial"/>
        </w:rPr>
      </w:pPr>
      <w:r>
        <w:rPr>
          <w:rFonts w:ascii="Arial" w:hAnsi="Arial" w:cs="Arial"/>
        </w:rPr>
        <w:t xml:space="preserve">(a) being evaluated by the DCR, or </w:t>
      </w:r>
    </w:p>
    <w:p>
      <w:pPr>
        <w:spacing w:after="0" w:line="240" w:lineRule="auto"/>
        <w:ind w:left="1800"/>
        <w:rPr>
          <w:rFonts w:ascii="Arial" w:hAnsi="Arial" w:cs="Arial"/>
        </w:rPr>
      </w:pPr>
      <w:r>
        <w:rPr>
          <w:rFonts w:ascii="Arial" w:hAnsi="Arial" w:cs="Arial"/>
        </w:rPr>
        <w:t xml:space="preserve">(b) the date specified above.  </w:t>
      </w:r>
    </w:p>
    <w:p>
      <w:pPr>
        <w:spacing w:before="120" w:after="0" w:line="240" w:lineRule="auto"/>
        <w:ind w:left="1440"/>
        <w:rPr>
          <w:rFonts w:ascii="Arial" w:hAnsi="Arial" w:cs="Arial"/>
        </w:rPr>
      </w:pPr>
      <w:r>
        <w:rPr>
          <w:rFonts w:ascii="Arial" w:hAnsi="Arial" w:cs="Arial"/>
        </w:rPr>
        <w:t>Any custody orders on any other cases are to remain unaffected by this order.</w:t>
      </w:r>
    </w:p>
    <w:p>
      <w:pPr>
        <w:pStyle w:val="NoSpacing"/>
        <w:rPr>
          <w:rFonts w:ascii="Arial" w:hAnsi="Arial" w:cs="Arial"/>
        </w:rPr>
      </w:pPr>
    </w:p>
    <w:p>
      <w:pPr>
        <w:pStyle w:val="NoSpacing"/>
        <w:tabs>
          <w:tab w:val="left" w:pos="720"/>
          <w:tab w:val="left" w:pos="4320"/>
        </w:tabs>
        <w:ind w:left="720" w:hanging="720"/>
        <w:rPr>
          <w:rFonts w:ascii="Arial" w:hAnsi="Arial" w:cs="Arial"/>
        </w:rPr>
      </w:pPr>
      <w:r>
        <w:rPr>
          <w:rFonts w:ascii="Arial" w:hAnsi="Arial" w:cs="Arial"/>
          <w:b/>
        </w:rPr>
        <w:t xml:space="preserve">2.  </w:t>
      </w:r>
      <w:r>
        <w:rPr>
          <w:rFonts w:ascii="Arial" w:hAnsi="Arial" w:cs="Arial"/>
          <w:b/>
        </w:rPr>
        <w:tab/>
        <w:t xml:space="preserve">Interpreter. </w:t>
      </w:r>
      <w:r>
        <w:rPr>
          <w:rFonts w:ascii="Arial" w:hAnsi="Arial" w:cs="Arial"/>
        </w:rPr>
        <w:t>The defendant requires the services of an interpreter in the following language:</w:t>
      </w:r>
      <w:r>
        <w:rPr>
          <w:rFonts w:ascii="Arial" w:hAnsi="Arial" w:cs="Arial"/>
          <w:u w:val="single"/>
        </w:rPr>
        <w:tab/>
      </w:r>
      <w:r>
        <w:rPr>
          <w:rFonts w:ascii="Arial" w:hAnsi="Arial" w:cs="Arial"/>
        </w:rPr>
        <w:t>.</w:t>
      </w:r>
    </w:p>
    <w:p>
      <w:pPr>
        <w:pStyle w:val="NoSpacing"/>
        <w:tabs>
          <w:tab w:val="left" w:pos="4320"/>
        </w:tabs>
        <w:rPr>
          <w:rFonts w:ascii="Arial" w:hAnsi="Arial" w:cs="Arial"/>
        </w:rPr>
      </w:pPr>
    </w:p>
    <w:p>
      <w:pPr>
        <w:pStyle w:val="NoSpacing"/>
        <w:tabs>
          <w:tab w:val="left" w:pos="720"/>
          <w:tab w:val="left" w:pos="8640"/>
        </w:tabs>
        <w:ind w:left="720" w:hanging="720"/>
        <w:rPr>
          <w:rFonts w:ascii="Arial" w:hAnsi="Arial" w:cs="Arial"/>
          <w:u w:val="single"/>
        </w:rPr>
      </w:pPr>
      <w:r>
        <w:rPr>
          <w:rFonts w:ascii="Arial" w:hAnsi="Arial" w:cs="Arial"/>
          <w:b/>
        </w:rPr>
        <w:t xml:space="preserve">3. </w:t>
      </w:r>
      <w:r>
        <w:rPr>
          <w:rFonts w:ascii="Arial" w:hAnsi="Arial" w:cs="Arial"/>
          <w:b/>
        </w:rPr>
        <w:tab/>
        <w:t>Other Orders:</w:t>
      </w:r>
      <w:r>
        <w:rPr>
          <w:rFonts w:ascii="Arial" w:hAnsi="Arial" w:cs="Arial"/>
          <w:u w:val="single"/>
        </w:rPr>
        <w:tab/>
      </w:r>
    </w:p>
    <w:p>
      <w:pPr>
        <w:pStyle w:val="NoSpacing"/>
        <w:tabs>
          <w:tab w:val="left" w:pos="8640"/>
        </w:tabs>
        <w:ind w:left="720"/>
        <w:rPr>
          <w:rFonts w:ascii="Arial" w:hAnsi="Arial" w:cs="Arial"/>
          <w:u w:val="single"/>
        </w:rPr>
      </w:pPr>
      <w:r>
        <w:rPr>
          <w:rFonts w:ascii="Arial" w:hAnsi="Arial" w:cs="Arial"/>
          <w:u w:val="single"/>
        </w:rPr>
        <w:tab/>
      </w:r>
    </w:p>
    <w:p>
      <w:pPr>
        <w:pStyle w:val="NoSpacing"/>
        <w:tabs>
          <w:tab w:val="left" w:pos="8640"/>
        </w:tabs>
        <w:ind w:left="720"/>
        <w:rPr>
          <w:rFonts w:ascii="Arial" w:hAnsi="Arial" w:cs="Arial"/>
          <w:u w:val="single"/>
        </w:rPr>
      </w:pPr>
      <w:r>
        <w:rPr>
          <w:rFonts w:ascii="Arial" w:hAnsi="Arial" w:cs="Arial"/>
          <w:u w:val="single"/>
        </w:rPr>
        <w:tab/>
      </w:r>
    </w:p>
    <w:p>
      <w:pPr>
        <w:pStyle w:val="NoSpacing"/>
        <w:tabs>
          <w:tab w:val="left" w:pos="9180"/>
        </w:tabs>
        <w:rPr>
          <w:rFonts w:ascii="Arial" w:hAnsi="Arial" w:cs="Arial"/>
        </w:rPr>
      </w:pPr>
    </w:p>
    <w:p>
      <w:pPr>
        <w:pStyle w:val="NoSpacing"/>
        <w:tabs>
          <w:tab w:val="left" w:pos="9180"/>
        </w:tabs>
        <w:rPr>
          <w:rFonts w:ascii="Arial" w:hAnsi="Arial" w:cs="Arial"/>
        </w:rPr>
      </w:pPr>
    </w:p>
    <w:p>
      <w:pPr>
        <w:pStyle w:val="NoSpacing"/>
        <w:tabs>
          <w:tab w:val="left" w:pos="4320"/>
          <w:tab w:val="left" w:pos="5040"/>
          <w:tab w:val="left" w:pos="9180"/>
        </w:tabs>
        <w:rPr>
          <w:rFonts w:ascii="Arial" w:hAnsi="Arial" w:cs="Arial"/>
          <w:b/>
        </w:rPr>
      </w:pPr>
      <w:r>
        <w:rPr>
          <w:rFonts w:ascii="Arial" w:hAnsi="Arial" w:cs="Arial"/>
          <w:b/>
        </w:rPr>
        <w:t xml:space="preserve">Dated </w:t>
      </w:r>
      <w:r>
        <w:rPr>
          <w:rFonts w:ascii="Arial" w:hAnsi="Arial" w:cs="Arial"/>
          <w:u w:val="single"/>
        </w:rPr>
        <w:tab/>
      </w:r>
      <w:r>
        <w:rPr>
          <w:rFonts w:ascii="Arial" w:hAnsi="Arial" w:cs="Arial"/>
          <w:b/>
        </w:rPr>
        <w:tab/>
      </w:r>
      <w:r>
        <w:rPr>
          <w:rFonts w:ascii="Arial" w:hAnsi="Arial" w:cs="Arial"/>
          <w:u w:val="single"/>
        </w:rPr>
        <w:tab/>
      </w:r>
      <w:r>
        <w:rPr>
          <w:rFonts w:ascii="Arial" w:hAnsi="Arial" w:cs="Arial"/>
          <w:b/>
        </w:rPr>
        <w:t xml:space="preserve"> </w:t>
      </w:r>
    </w:p>
    <w:p>
      <w:pPr>
        <w:pStyle w:val="NoSpacing"/>
        <w:tabs>
          <w:tab w:val="left" w:pos="5040"/>
        </w:tabs>
        <w:rPr>
          <w:rFonts w:ascii="Arial" w:hAnsi="Arial" w:cs="Arial"/>
          <w:b/>
        </w:rPr>
      </w:pPr>
      <w:r>
        <w:rPr>
          <w:rFonts w:ascii="Arial" w:hAnsi="Arial" w:cs="Arial"/>
          <w:b/>
        </w:rPr>
        <w:tab/>
        <w:t>Judge</w:t>
      </w:r>
    </w:p>
    <w:p>
      <w:pPr>
        <w:pStyle w:val="NoSpacing"/>
        <w:rPr>
          <w:rFonts w:ascii="Arial" w:hAnsi="Arial" w:cs="Arial"/>
          <w:sz w:val="24"/>
        </w:rPr>
      </w:pPr>
    </w:p>
    <w:p>
      <w:pPr>
        <w:pStyle w:val="NoSpacing"/>
        <w:tabs>
          <w:tab w:val="left" w:pos="5040"/>
        </w:tabs>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Agreed</w:t>
      </w:r>
      <w:r>
        <w:rPr>
          <w:rFonts w:ascii="Arial" w:hAnsi="Arial" w:cs="Arial"/>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Agreed</w:t>
      </w:r>
    </w:p>
    <w:p>
      <w:pPr>
        <w:pStyle w:val="NoSpacing"/>
        <w:tabs>
          <w:tab w:val="left" w:pos="5040"/>
        </w:tabs>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Approved as to form</w:t>
      </w:r>
      <w:r>
        <w:rPr>
          <w:rFonts w:ascii="Arial" w:hAnsi="Arial" w:cs="Arial"/>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Approved as to form </w:t>
      </w:r>
    </w:p>
    <w:p>
      <w:pPr>
        <w:pStyle w:val="NoSpacing"/>
        <w:tabs>
          <w:tab w:val="left" w:pos="5040"/>
        </w:tabs>
        <w:rPr>
          <w:rFonts w:ascii="Arial" w:hAnsi="Arial" w:cs="Arial"/>
        </w:rPr>
      </w:pPr>
    </w:p>
    <w:p>
      <w:pPr>
        <w:pStyle w:val="NoSpacing"/>
        <w:tabs>
          <w:tab w:val="left" w:pos="180"/>
          <w:tab w:val="left" w:pos="4320"/>
          <w:tab w:val="left" w:pos="5040"/>
          <w:tab w:val="left" w:pos="5310"/>
          <w:tab w:val="left" w:pos="918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pPr>
        <w:pStyle w:val="NoSpacing"/>
        <w:tabs>
          <w:tab w:val="left" w:pos="180"/>
          <w:tab w:val="left" w:pos="5040"/>
          <w:tab w:val="left" w:pos="5310"/>
          <w:tab w:val="left" w:pos="9180"/>
        </w:tabs>
        <w:rPr>
          <w:rFonts w:ascii="Arial" w:hAnsi="Arial" w:cs="Arial"/>
        </w:rPr>
      </w:pPr>
      <w:r>
        <w:rPr>
          <w:rFonts w:ascii="Arial" w:hAnsi="Arial" w:cs="Arial"/>
        </w:rPr>
        <w:t>Deputy Prosecuting Attorney</w:t>
      </w:r>
      <w:r>
        <w:rPr>
          <w:rFonts w:ascii="Arial" w:hAnsi="Arial" w:cs="Arial"/>
        </w:rPr>
        <w:tab/>
        <w:t>Attorney for the Defendant</w:t>
      </w:r>
    </w:p>
    <w:p>
      <w:pPr>
        <w:pStyle w:val="NoSpacing"/>
        <w:rPr>
          <w:rFonts w:ascii="Arial" w:hAnsi="Arial" w:cs="Arial"/>
        </w:rPr>
      </w:pPr>
      <w:r>
        <w:rPr>
          <w:rFonts w:ascii="Arial" w:hAnsi="Arial" w:cs="Arial"/>
        </w:rPr>
        <w:t>WSBA No.</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WSBA No. .</w:t>
      </w:r>
      <w:r>
        <w:rPr>
          <w:rFonts w:ascii="Arial" w:hAnsi="Arial" w:cs="Arial"/>
          <w:u w:val="single"/>
        </w:rPr>
        <w:tab/>
      </w:r>
      <w:r>
        <w:rPr>
          <w:rFonts w:ascii="Arial" w:hAnsi="Arial" w:cs="Arial"/>
          <w:u w:val="single"/>
        </w:rPr>
        <w:tab/>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70251"/>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Content>
          <w:p>
            <w:pPr>
              <w:pStyle w:val="NoSpacing"/>
              <w:rPr>
                <w:rFonts w:ascii="Arial" w:hAnsi="Arial" w:cs="Arial"/>
                <w:sz w:val="20"/>
                <w:szCs w:val="20"/>
              </w:rPr>
            </w:pPr>
            <w:r>
              <w:rPr>
                <w:rFonts w:ascii="Arial" w:hAnsi="Arial" w:cs="Arial"/>
                <w:sz w:val="20"/>
                <w:szCs w:val="20"/>
              </w:rPr>
              <w:t>Order Striking Nonfelony Revocation (ORSK)</w:t>
            </w:r>
            <w:r>
              <w:rPr>
                <w:rFonts w:ascii="Arial" w:hAnsi="Arial" w:cs="Arial"/>
                <w:sz w:val="20"/>
                <w:szCs w:val="20"/>
              </w:rPr>
              <w:tab/>
              <w:t xml:space="preserve"> Page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Pr>
                <w:rFonts w:ascii="Arial" w:hAnsi="Arial" w:cs="Arial"/>
                <w:bCs/>
                <w:noProof/>
                <w:sz w:val="20"/>
                <w:szCs w:val="20"/>
              </w:rPr>
              <w:t>1</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Pr>
                <w:rFonts w:ascii="Arial" w:hAnsi="Arial" w:cs="Arial"/>
                <w:bCs/>
                <w:noProof/>
                <w:sz w:val="20"/>
                <w:szCs w:val="20"/>
              </w:rPr>
              <w:t>2</w:t>
            </w:r>
            <w:r>
              <w:rPr>
                <w:rFonts w:ascii="Arial" w:hAnsi="Arial" w:cs="Arial"/>
                <w:bCs/>
                <w:sz w:val="20"/>
                <w:szCs w:val="20"/>
              </w:rPr>
              <w:fldChar w:fldCharType="end"/>
            </w:r>
          </w:p>
          <w:p>
            <w:pPr>
              <w:pStyle w:val="NoSpacing"/>
              <w:rPr>
                <w:rFonts w:ascii="Arial" w:hAnsi="Arial" w:cs="Arial"/>
                <w:sz w:val="20"/>
                <w:szCs w:val="20"/>
              </w:rPr>
            </w:pPr>
            <w:r>
              <w:rPr>
                <w:rFonts w:ascii="Arial" w:hAnsi="Arial" w:cs="Arial"/>
                <w:sz w:val="20"/>
                <w:szCs w:val="20"/>
              </w:rPr>
              <w:t xml:space="preserve">  Proceedings Due to Defendant’s Lack of </w:t>
            </w:r>
          </w:p>
          <w:p>
            <w:pPr>
              <w:pStyle w:val="NoSpacing"/>
              <w:rPr>
                <w:rFonts w:ascii="Arial" w:hAnsi="Arial" w:cs="Arial"/>
                <w:sz w:val="20"/>
                <w:szCs w:val="20"/>
              </w:rPr>
            </w:pPr>
            <w:r>
              <w:rPr>
                <w:rFonts w:ascii="Arial" w:hAnsi="Arial" w:cs="Arial"/>
                <w:sz w:val="20"/>
                <w:szCs w:val="20"/>
              </w:rPr>
              <w:t xml:space="preserve">  Competency and Immediately Releasing or</w:t>
            </w:r>
          </w:p>
          <w:p>
            <w:pPr>
              <w:pStyle w:val="NoSpacing"/>
            </w:pPr>
            <w:r>
              <w:rPr>
                <w:rFonts w:ascii="Arial" w:hAnsi="Arial" w:cs="Arial"/>
                <w:sz w:val="20"/>
                <w:szCs w:val="20"/>
              </w:rPr>
              <w:t xml:space="preserve">  Detaining Defendant</w:t>
            </w:r>
          </w:p>
          <w:p>
            <w:pPr>
              <w:pStyle w:val="NoSpacing"/>
              <w:rPr>
                <w:rFonts w:ascii="Arial" w:hAnsi="Arial" w:cs="Arial"/>
                <w:sz w:val="20"/>
                <w:szCs w:val="20"/>
              </w:rPr>
            </w:pPr>
            <w:r>
              <w:rPr>
                <w:rFonts w:ascii="Arial" w:hAnsi="Arial" w:cs="Arial"/>
                <w:sz w:val="20"/>
                <w:szCs w:val="20"/>
              </w:rPr>
              <w:t>MP 282 (03/2018) RCW 10.77.088(2)</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A4C20"/>
    <w:multiLevelType w:val="hybridMultilevel"/>
    <w:tmpl w:val="84FAD7E6"/>
    <w:lvl w:ilvl="0" w:tplc="FBB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2018-03-08T19:36:00Z</dcterms:created>
  <dcterms:modified xsi:type="dcterms:W3CDTF">2018-03-29T19:26:00Z</dcterms:modified>
</cp:coreProperties>
</file>